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0B5A" w14:textId="0818AC7B" w:rsidR="00A249A6" w:rsidRDefault="00D26068" w:rsidP="00A249A6">
      <w:pPr>
        <w:rPr>
          <w:rFonts w:ascii="Ping LCG Regular" w:hAnsi="Ping LCG Regular" w:cs="Arial"/>
          <w:b/>
          <w:spacing w:val="-14"/>
          <w:lang w:val="el-GR"/>
        </w:rPr>
      </w:pPr>
      <w:r w:rsidRPr="00A013AF">
        <w:rPr>
          <w:rFonts w:ascii="Ping LCG Regular" w:hAnsi="Ping LCG Regular" w:cs="Arial"/>
          <w:b/>
          <w:spacing w:val="-14"/>
          <w:lang w:val="el-GR"/>
        </w:rPr>
        <w:t xml:space="preserve">Αθήνα, </w:t>
      </w:r>
      <w:r w:rsidR="008A77EE" w:rsidRPr="00A013AF">
        <w:rPr>
          <w:rFonts w:ascii="Ping LCG Regular" w:hAnsi="Ping LCG Regular" w:cs="Arial"/>
          <w:b/>
          <w:spacing w:val="-14"/>
          <w:lang w:val="el-GR"/>
        </w:rPr>
        <w:t>5</w:t>
      </w:r>
      <w:r w:rsidR="00A249A6" w:rsidRPr="00A013AF">
        <w:rPr>
          <w:rFonts w:ascii="Ping LCG Regular" w:hAnsi="Ping LCG Regular" w:cs="Arial"/>
          <w:b/>
          <w:spacing w:val="-14"/>
          <w:lang w:val="el-GR"/>
        </w:rPr>
        <w:t xml:space="preserve"> </w:t>
      </w:r>
      <w:r w:rsidR="002801AA" w:rsidRPr="00A013AF">
        <w:rPr>
          <w:rFonts w:ascii="Ping LCG Regular" w:hAnsi="Ping LCG Regular" w:cs="Arial"/>
          <w:b/>
          <w:spacing w:val="-14"/>
          <w:lang w:val="el-GR"/>
        </w:rPr>
        <w:t>Απριλίου</w:t>
      </w:r>
      <w:r w:rsidR="00A249A6" w:rsidRPr="00A013AF">
        <w:rPr>
          <w:rFonts w:ascii="Ping LCG Regular" w:hAnsi="Ping LCG Regular" w:cs="Arial"/>
          <w:b/>
          <w:spacing w:val="-14"/>
          <w:lang w:val="el-GR"/>
        </w:rPr>
        <w:t xml:space="preserve"> 202</w:t>
      </w:r>
      <w:r w:rsidR="002801AA" w:rsidRPr="00A013AF">
        <w:rPr>
          <w:rFonts w:ascii="Ping LCG Regular" w:hAnsi="Ping LCG Regular" w:cs="Arial"/>
          <w:b/>
          <w:spacing w:val="-14"/>
          <w:lang w:val="el-GR"/>
        </w:rPr>
        <w:t>2</w:t>
      </w:r>
    </w:p>
    <w:p w14:paraId="58F9B10E" w14:textId="5674C437" w:rsidR="00760C4C" w:rsidRDefault="00760C4C" w:rsidP="00A249A6">
      <w:pPr>
        <w:rPr>
          <w:rFonts w:ascii="Ping LCG Regular" w:hAnsi="Ping LCG Regular" w:cs="Arial"/>
          <w:b/>
          <w:spacing w:val="-14"/>
          <w:lang w:val="el-GR"/>
        </w:rPr>
      </w:pPr>
    </w:p>
    <w:p w14:paraId="58985D94" w14:textId="77777777" w:rsidR="00EE27A9" w:rsidRPr="00A5765C" w:rsidRDefault="00EE27A9" w:rsidP="00A249A6">
      <w:pPr>
        <w:rPr>
          <w:rFonts w:ascii="Ping LCG Regular" w:hAnsi="Ping LCG Regular" w:cs="Arial"/>
          <w:b/>
          <w:spacing w:val="-14"/>
          <w:lang w:val="el-GR"/>
        </w:rPr>
      </w:pPr>
    </w:p>
    <w:p w14:paraId="78AA2DAA" w14:textId="1264D710" w:rsidR="00A249A6" w:rsidRPr="00A5765C" w:rsidRDefault="00A249A6" w:rsidP="00A249A6">
      <w:pPr>
        <w:rPr>
          <w:rFonts w:ascii="Ping LCG Regular" w:hAnsi="Ping LCG Regular" w:cs="Arial"/>
          <w:b/>
          <w:spacing w:val="-14"/>
          <w:lang w:val="el-GR"/>
        </w:rPr>
      </w:pPr>
    </w:p>
    <w:p w14:paraId="2A909520" w14:textId="24A29CDC" w:rsidR="002E7A7B" w:rsidRDefault="00D24192" w:rsidP="002E7A7B">
      <w:pPr>
        <w:jc w:val="center"/>
        <w:rPr>
          <w:rFonts w:ascii="Ping LCG Bold" w:hAnsi="Ping LCG Bold" w:cs="Arial"/>
          <w:b/>
          <w:spacing w:val="-14"/>
          <w:sz w:val="26"/>
          <w:szCs w:val="26"/>
          <w:lang w:val="el-GR"/>
        </w:rPr>
      </w:pPr>
      <w:r w:rsidRPr="00D24192">
        <w:rPr>
          <w:rFonts w:ascii="Ping LCG Bold" w:hAnsi="Ping LCG Bold" w:cs="Arial"/>
          <w:b/>
          <w:spacing w:val="-14"/>
          <w:sz w:val="26"/>
          <w:szCs w:val="26"/>
          <w:lang w:val="el-GR"/>
        </w:rPr>
        <w:t xml:space="preserve">ΑΠΟΤΕΛΕΣΜΑΤΑ  </w:t>
      </w:r>
      <w:r w:rsidR="002801AA">
        <w:rPr>
          <w:rFonts w:ascii="Ping LCG Bold" w:hAnsi="Ping LCG Bold" w:cs="Arial"/>
          <w:b/>
          <w:spacing w:val="-14"/>
          <w:sz w:val="26"/>
          <w:szCs w:val="26"/>
          <w:lang w:val="el-GR"/>
        </w:rPr>
        <w:t>ΕΤΟΥΣ 2021</w:t>
      </w:r>
      <w:r w:rsidRPr="00D24192">
        <w:rPr>
          <w:rFonts w:ascii="Ping LCG Bold" w:hAnsi="Ping LCG Bold" w:cs="Arial"/>
          <w:b/>
          <w:spacing w:val="-14"/>
          <w:sz w:val="26"/>
          <w:szCs w:val="26"/>
          <w:lang w:val="el-GR"/>
        </w:rPr>
        <w:t xml:space="preserve"> </w:t>
      </w:r>
      <w:r w:rsidR="002E7A7B">
        <w:rPr>
          <w:rFonts w:ascii="Ping LCG Bold" w:hAnsi="Ping LCG Bold" w:cs="Arial"/>
          <w:b/>
          <w:spacing w:val="-14"/>
          <w:sz w:val="26"/>
          <w:szCs w:val="26"/>
          <w:lang w:val="el-GR"/>
        </w:rPr>
        <w:t>/ Δ</w:t>
      </w:r>
      <w:r w:rsidR="002E7A7B" w:rsidRPr="00D24192">
        <w:rPr>
          <w:rFonts w:ascii="Ping LCG Bold" w:hAnsi="Ping LCG Bold" w:cs="Arial"/>
          <w:b/>
          <w:spacing w:val="-14"/>
          <w:sz w:val="26"/>
          <w:szCs w:val="26"/>
          <w:lang w:val="el-GR"/>
        </w:rPr>
        <w:t>’ ΤΡΙΜΗΝΟΥ 2021 ΟΜΙΛΟΥ ΔΕΗ</w:t>
      </w:r>
    </w:p>
    <w:p w14:paraId="184026D9" w14:textId="77777777" w:rsidR="00EE27A9" w:rsidRPr="00A5765C" w:rsidRDefault="00EE27A9" w:rsidP="00A249A6">
      <w:pPr>
        <w:jc w:val="center"/>
        <w:rPr>
          <w:rFonts w:ascii="Ping LCG Regular" w:hAnsi="Ping LCG Regular" w:cs="Arial"/>
          <w:b/>
          <w:spacing w:val="-14"/>
          <w:sz w:val="28"/>
          <w:szCs w:val="28"/>
          <w:lang w:val="el-GR"/>
        </w:rPr>
      </w:pPr>
    </w:p>
    <w:p w14:paraId="117C0CDF" w14:textId="5A9DA724" w:rsidR="006307C9" w:rsidRPr="00376A5B" w:rsidRDefault="00A249A6" w:rsidP="006C2EBB">
      <w:pPr>
        <w:pStyle w:val="af1"/>
        <w:numPr>
          <w:ilvl w:val="0"/>
          <w:numId w:val="1"/>
        </w:numPr>
        <w:spacing w:before="80" w:after="80"/>
        <w:ind w:left="357" w:hanging="357"/>
        <w:contextualSpacing w:val="0"/>
        <w:jc w:val="both"/>
        <w:rPr>
          <w:rFonts w:ascii="Ping LCG Regular" w:hAnsi="Ping LCG Regular" w:cs="Arial"/>
          <w:b/>
          <w:spacing w:val="-14"/>
          <w:szCs w:val="26"/>
        </w:rPr>
      </w:pPr>
      <w:r w:rsidRPr="00376A5B">
        <w:rPr>
          <w:rFonts w:ascii="Ping LCG Regular" w:hAnsi="Ping LCG Regular" w:cs="Arial"/>
          <w:b/>
          <w:spacing w:val="-14"/>
          <w:szCs w:val="26"/>
        </w:rPr>
        <w:t>Επαναλαμβανόμενο EBITDA ύψους €</w:t>
      </w:r>
      <w:r w:rsidR="008A705F" w:rsidRPr="00376A5B">
        <w:rPr>
          <w:rFonts w:ascii="Ping LCG Regular" w:hAnsi="Ping LCG Regular" w:cs="Arial"/>
          <w:b/>
          <w:spacing w:val="-14"/>
          <w:szCs w:val="26"/>
        </w:rPr>
        <w:t>8</w:t>
      </w:r>
      <w:r w:rsidR="00843878" w:rsidRPr="00843878">
        <w:rPr>
          <w:rFonts w:ascii="Ping LCG Regular" w:hAnsi="Ping LCG Regular" w:cs="Arial"/>
          <w:b/>
          <w:spacing w:val="-14"/>
          <w:szCs w:val="26"/>
        </w:rPr>
        <w:t>7</w:t>
      </w:r>
      <w:r w:rsidR="008A6897">
        <w:rPr>
          <w:rFonts w:ascii="Ping LCG Regular" w:hAnsi="Ping LCG Regular" w:cs="Arial"/>
          <w:b/>
          <w:spacing w:val="-14"/>
          <w:szCs w:val="26"/>
        </w:rPr>
        <w:t>1</w:t>
      </w:r>
      <w:r w:rsidR="00843878" w:rsidRPr="00843878">
        <w:rPr>
          <w:rFonts w:ascii="Ping LCG Regular" w:hAnsi="Ping LCG Regular" w:cs="Arial"/>
          <w:b/>
          <w:spacing w:val="-14"/>
          <w:szCs w:val="26"/>
        </w:rPr>
        <w:t>,7</w:t>
      </w:r>
      <w:r w:rsidR="00617101" w:rsidRPr="00376A5B">
        <w:rPr>
          <w:rFonts w:ascii="Ping LCG Regular" w:hAnsi="Ping LCG Regular" w:cs="Arial"/>
          <w:b/>
          <w:spacing w:val="-14"/>
          <w:szCs w:val="26"/>
        </w:rPr>
        <w:t xml:space="preserve"> </w:t>
      </w:r>
      <w:r w:rsidRPr="00376A5B">
        <w:rPr>
          <w:rFonts w:ascii="Ping LCG Regular" w:hAnsi="Ping LCG Regular" w:cs="Arial"/>
          <w:b/>
          <w:spacing w:val="-14"/>
          <w:szCs w:val="26"/>
        </w:rPr>
        <w:t>εκατ. το</w:t>
      </w:r>
      <w:r w:rsidR="00645440" w:rsidRPr="00376A5B">
        <w:rPr>
          <w:rFonts w:ascii="Ping LCG Regular" w:hAnsi="Ping LCG Regular" w:cs="Arial"/>
          <w:b/>
          <w:spacing w:val="-14"/>
          <w:szCs w:val="26"/>
        </w:rPr>
        <w:t xml:space="preserve"> </w:t>
      </w:r>
      <w:r w:rsidRPr="00376A5B">
        <w:rPr>
          <w:rFonts w:ascii="Ping LCG Regular" w:hAnsi="Ping LCG Regular" w:cs="Arial"/>
          <w:b/>
          <w:spacing w:val="-14"/>
          <w:szCs w:val="26"/>
        </w:rPr>
        <w:t>202</w:t>
      </w:r>
      <w:r w:rsidR="00ED1FA6" w:rsidRPr="00ED1FA6">
        <w:rPr>
          <w:rFonts w:ascii="Ping LCG Regular" w:hAnsi="Ping LCG Regular" w:cs="Arial"/>
          <w:b/>
          <w:spacing w:val="-14"/>
          <w:szCs w:val="26"/>
        </w:rPr>
        <w:t>1</w:t>
      </w:r>
      <w:r w:rsidR="00B5344A" w:rsidRPr="00E14B07">
        <w:rPr>
          <w:rFonts w:ascii="Ping LCG Regular" w:hAnsi="Ping LCG Regular" w:cs="Arial"/>
          <w:b/>
          <w:spacing w:val="-14"/>
          <w:szCs w:val="26"/>
        </w:rPr>
        <w:t xml:space="preserve">, </w:t>
      </w:r>
      <w:r w:rsidR="00B5344A">
        <w:rPr>
          <w:rFonts w:ascii="Ping LCG Regular" w:hAnsi="Ping LCG Regular" w:cs="Arial"/>
          <w:b/>
          <w:spacing w:val="-14"/>
          <w:szCs w:val="26"/>
        </w:rPr>
        <w:t xml:space="preserve">εντός στόχων </w:t>
      </w:r>
      <w:r w:rsidR="005B0AF2" w:rsidRPr="00376A5B">
        <w:rPr>
          <w:rFonts w:ascii="Ping LCG Regular" w:hAnsi="Ping LCG Regular" w:cs="Arial"/>
          <w:b/>
          <w:spacing w:val="-14"/>
          <w:szCs w:val="26"/>
        </w:rPr>
        <w:t xml:space="preserve"> </w:t>
      </w:r>
    </w:p>
    <w:p w14:paraId="181F8B50" w14:textId="36E546D4" w:rsidR="00166519" w:rsidRDefault="00166519" w:rsidP="006C2EBB">
      <w:pPr>
        <w:pStyle w:val="af1"/>
        <w:numPr>
          <w:ilvl w:val="0"/>
          <w:numId w:val="1"/>
        </w:numPr>
        <w:spacing w:before="80" w:after="80"/>
        <w:ind w:left="357" w:hanging="357"/>
        <w:contextualSpacing w:val="0"/>
        <w:jc w:val="both"/>
        <w:rPr>
          <w:rFonts w:ascii="Ping LCG Regular" w:hAnsi="Ping LCG Regular" w:cs="Arial"/>
          <w:b/>
          <w:spacing w:val="-14"/>
          <w:szCs w:val="26"/>
        </w:rPr>
      </w:pPr>
      <w:r>
        <w:rPr>
          <w:rFonts w:ascii="Ping LCG Regular" w:hAnsi="Ping LCG Regular" w:cs="Arial"/>
          <w:b/>
          <w:spacing w:val="-14"/>
          <w:szCs w:val="26"/>
        </w:rPr>
        <w:t>Αυξημένες επενδύσεις σε Διανομή και Ανανεώσιμες Πηγές Ενέργειας</w:t>
      </w:r>
    </w:p>
    <w:p w14:paraId="14DB0105" w14:textId="26C2C59C" w:rsidR="00740885" w:rsidRPr="00376A5B" w:rsidRDefault="00740885" w:rsidP="006C2EBB">
      <w:pPr>
        <w:pStyle w:val="af1"/>
        <w:numPr>
          <w:ilvl w:val="0"/>
          <w:numId w:val="1"/>
        </w:numPr>
        <w:spacing w:before="80" w:after="80"/>
        <w:ind w:left="357" w:hanging="357"/>
        <w:contextualSpacing w:val="0"/>
        <w:jc w:val="both"/>
        <w:rPr>
          <w:rFonts w:ascii="Ping LCG Regular" w:hAnsi="Ping LCG Regular" w:cs="Arial"/>
          <w:b/>
          <w:spacing w:val="-14"/>
          <w:szCs w:val="26"/>
        </w:rPr>
      </w:pPr>
      <w:r>
        <w:rPr>
          <w:rFonts w:ascii="Ping LCG Regular" w:hAnsi="Ping LCG Regular" w:cs="Arial"/>
          <w:b/>
          <w:spacing w:val="-14"/>
          <w:szCs w:val="26"/>
        </w:rPr>
        <w:t xml:space="preserve">Στήριξη </w:t>
      </w:r>
      <w:r w:rsidR="004C78D9">
        <w:rPr>
          <w:rFonts w:ascii="Ping LCG Regular" w:hAnsi="Ping LCG Regular" w:cs="Arial"/>
          <w:b/>
          <w:spacing w:val="-14"/>
          <w:szCs w:val="26"/>
        </w:rPr>
        <w:t xml:space="preserve">των </w:t>
      </w:r>
      <w:r>
        <w:rPr>
          <w:rFonts w:ascii="Ping LCG Regular" w:hAnsi="Ping LCG Regular" w:cs="Arial"/>
          <w:b/>
          <w:spacing w:val="-14"/>
          <w:szCs w:val="26"/>
        </w:rPr>
        <w:t>πελατών</w:t>
      </w:r>
      <w:r w:rsidR="00FC1B95">
        <w:rPr>
          <w:rFonts w:ascii="Ping LCG Regular" w:hAnsi="Ping LCG Regular" w:cs="Arial"/>
          <w:b/>
          <w:spacing w:val="-14"/>
          <w:szCs w:val="26"/>
        </w:rPr>
        <w:t xml:space="preserve"> στην περίοδο της κρίσης με μέτρα συνολικού ύψους €</w:t>
      </w:r>
      <w:r w:rsidR="004B393C">
        <w:rPr>
          <w:rFonts w:ascii="Ping LCG Regular" w:hAnsi="Ping LCG Regular" w:cs="Arial"/>
          <w:b/>
          <w:spacing w:val="-14"/>
          <w:szCs w:val="26"/>
        </w:rPr>
        <w:t>800</w:t>
      </w:r>
      <w:r w:rsidR="00FC1B95">
        <w:rPr>
          <w:rFonts w:ascii="Ping LCG Regular" w:hAnsi="Ping LCG Regular" w:cs="Arial"/>
          <w:b/>
          <w:spacing w:val="-14"/>
          <w:szCs w:val="26"/>
        </w:rPr>
        <w:t xml:space="preserve"> εκατ.  δεδομένης της καθετοποιημένης </w:t>
      </w:r>
      <w:r w:rsidR="007474C4">
        <w:rPr>
          <w:rFonts w:ascii="Ping LCG Regular" w:hAnsi="Ping LCG Regular" w:cs="Arial"/>
          <w:b/>
          <w:spacing w:val="-14"/>
          <w:szCs w:val="26"/>
        </w:rPr>
        <w:t>θέσης του Ομίλου</w:t>
      </w:r>
    </w:p>
    <w:p w14:paraId="024C379D" w14:textId="1923C452" w:rsidR="00564158" w:rsidRDefault="00ED1FA6" w:rsidP="006C2EBB">
      <w:pPr>
        <w:pStyle w:val="af1"/>
        <w:numPr>
          <w:ilvl w:val="0"/>
          <w:numId w:val="1"/>
        </w:numPr>
        <w:spacing w:before="80" w:after="80"/>
        <w:ind w:left="357" w:hanging="357"/>
        <w:contextualSpacing w:val="0"/>
        <w:jc w:val="both"/>
        <w:rPr>
          <w:rFonts w:ascii="Ping LCG Regular" w:hAnsi="Ping LCG Regular" w:cs="Arial"/>
          <w:b/>
          <w:spacing w:val="-14"/>
          <w:szCs w:val="26"/>
        </w:rPr>
      </w:pPr>
      <w:bookmarkStart w:id="0" w:name="_Hlk89091054"/>
      <w:r>
        <w:rPr>
          <w:rFonts w:ascii="Ping LCG Regular" w:hAnsi="Ping LCG Regular" w:cs="Arial"/>
          <w:b/>
          <w:spacing w:val="-14"/>
          <w:szCs w:val="26"/>
        </w:rPr>
        <w:t>Στόχος για το 2022 η διατήρηση της λειτουργικής κερδοφορίας στα επίπεδα του 2021</w:t>
      </w:r>
      <w:r w:rsidR="00DB5C43">
        <w:rPr>
          <w:rFonts w:ascii="Ping LCG Regular" w:hAnsi="Ping LCG Regular" w:cs="Arial"/>
          <w:b/>
          <w:spacing w:val="-14"/>
          <w:szCs w:val="26"/>
        </w:rPr>
        <w:t xml:space="preserve"> </w:t>
      </w:r>
      <w:r w:rsidR="00D8031C">
        <w:rPr>
          <w:rFonts w:ascii="Ping LCG Regular" w:hAnsi="Ping LCG Regular" w:cs="Arial"/>
          <w:b/>
          <w:spacing w:val="-14"/>
          <w:szCs w:val="26"/>
        </w:rPr>
        <w:t xml:space="preserve">με </w:t>
      </w:r>
      <w:r w:rsidR="00DB5C43">
        <w:rPr>
          <w:rFonts w:ascii="Ping LCG Regular" w:hAnsi="Ping LCG Regular" w:cs="Arial"/>
          <w:b/>
          <w:spacing w:val="-14"/>
          <w:szCs w:val="26"/>
        </w:rPr>
        <w:t xml:space="preserve">συνέχιση </w:t>
      </w:r>
      <w:r w:rsidR="00D7195D">
        <w:rPr>
          <w:rFonts w:ascii="Ping LCG Regular" w:hAnsi="Ping LCG Regular" w:cs="Arial"/>
          <w:b/>
          <w:spacing w:val="-14"/>
          <w:szCs w:val="26"/>
        </w:rPr>
        <w:t>των επενδύσεων</w:t>
      </w:r>
      <w:r w:rsidR="000D053D">
        <w:rPr>
          <w:rFonts w:ascii="Ping LCG Regular" w:hAnsi="Ping LCG Regular" w:cs="Arial"/>
          <w:b/>
          <w:spacing w:val="-14"/>
          <w:szCs w:val="26"/>
        </w:rPr>
        <w:t xml:space="preserve"> σύμφωνα με το Επιχειρηματικό Πλάνο</w:t>
      </w:r>
    </w:p>
    <w:bookmarkEnd w:id="0"/>
    <w:p w14:paraId="4785EB7F" w14:textId="77777777" w:rsidR="00A249A6" w:rsidRPr="00465824" w:rsidRDefault="00A249A6" w:rsidP="00256E4B">
      <w:pPr>
        <w:pStyle w:val="af1"/>
        <w:spacing w:before="80" w:after="80"/>
        <w:ind w:left="357"/>
        <w:contextualSpacing w:val="0"/>
        <w:jc w:val="both"/>
        <w:rPr>
          <w:sz w:val="26"/>
        </w:rPr>
      </w:pPr>
    </w:p>
    <w:p w14:paraId="69F8AAD4" w14:textId="49E1B984" w:rsidR="00887E3D" w:rsidRDefault="00A249A6" w:rsidP="00A249A6">
      <w:pPr>
        <w:spacing w:line="276" w:lineRule="auto"/>
        <w:rPr>
          <w:rFonts w:ascii="Ping LCG Regular" w:hAnsi="Ping LCG Regular" w:cs="Arial"/>
          <w:b/>
          <w:spacing w:val="-14"/>
          <w:szCs w:val="28"/>
          <w:lang w:val="el-GR"/>
        </w:rPr>
      </w:pPr>
      <w:r w:rsidRPr="008A77EE">
        <w:rPr>
          <w:rFonts w:ascii="Ping LCG Regular" w:hAnsi="Ping LCG Regular" w:cs="Arial"/>
          <w:b/>
          <w:spacing w:val="-14"/>
          <w:szCs w:val="28"/>
          <w:lang w:val="el-GR"/>
        </w:rPr>
        <w:t>Συνοπτικά Οικονομικά Αποτελέσματα Ομίλου</w:t>
      </w:r>
    </w:p>
    <w:p w14:paraId="68C896F6" w14:textId="67529A8F" w:rsidR="00B54E47" w:rsidRPr="00E14B07" w:rsidRDefault="00EA6980" w:rsidP="00445582">
      <w:pPr>
        <w:spacing w:line="276" w:lineRule="auto"/>
        <w:rPr>
          <w:rFonts w:ascii="Ping LCG Regular" w:hAnsi="Ping LCG Regular" w:cs="Arial"/>
          <w:bCs/>
          <w:i/>
          <w:iCs/>
          <w:spacing w:val="-14"/>
          <w:sz w:val="20"/>
          <w:szCs w:val="22"/>
          <w:lang w:val="el-GR"/>
        </w:rPr>
      </w:pPr>
      <w:r>
        <w:rPr>
          <w:rFonts w:ascii="Ping LCG Regular" w:hAnsi="Ping LCG Regular" w:cs="Arial"/>
          <w:b/>
          <w:spacing w:val="-14"/>
          <w:szCs w:val="28"/>
          <w:lang w:val="el-GR"/>
        </w:rPr>
        <w:pict w14:anchorId="20909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8pt;height:343.2pt">
            <v:imagedata r:id="rId8" o:title=""/>
          </v:shape>
        </w:pict>
      </w:r>
    </w:p>
    <w:p w14:paraId="3150CF73" w14:textId="79918728" w:rsidR="009E0DEA" w:rsidRPr="002A450B" w:rsidRDefault="002A450B" w:rsidP="002A450B">
      <w:pPr>
        <w:spacing w:line="276" w:lineRule="auto"/>
        <w:jc w:val="both"/>
        <w:rPr>
          <w:rFonts w:ascii="Ping LCG Regular" w:hAnsi="Ping LCG Regular" w:cs="Arial"/>
          <w:bCs/>
          <w:spacing w:val="-14"/>
          <w:sz w:val="22"/>
          <w:lang w:val="el-GR"/>
        </w:rPr>
      </w:pPr>
      <w:r w:rsidRPr="002A450B">
        <w:rPr>
          <w:rFonts w:ascii="Ping LCG Regular" w:hAnsi="Ping LCG Regular" w:cs="Arial"/>
          <w:bCs/>
          <w:spacing w:val="-14"/>
          <w:sz w:val="22"/>
          <w:lang w:val="el-GR"/>
        </w:rPr>
        <w:t>Για περισσότερες πληροφορίες σχετικά με τους ορισμούς δεικτών που περιλαμβάνονται στα παραπάνω μεγέθη, μπορείτε να ανατρέξετε στην Ετήσια Οικονομική Έκθεση 2021 (Παράρτημα: Ορισμοί και συμφωνία των Εναλλακτικών Δεικτών Μέτρησης Απόδοσης - “ΕΔΜΑ”).</w:t>
      </w:r>
    </w:p>
    <w:p w14:paraId="45CC7009" w14:textId="4E621C18" w:rsidR="00E560F3" w:rsidRPr="0090266A" w:rsidRDefault="002A450B" w:rsidP="00E560F3">
      <w:pPr>
        <w:rPr>
          <w:rFonts w:ascii="Ping LCG Regular" w:hAnsi="Ping LCG Regular" w:cs="Arial"/>
          <w:b/>
          <w:spacing w:val="-14"/>
          <w:szCs w:val="28"/>
          <w:lang w:val="el-GR"/>
        </w:rPr>
      </w:pPr>
      <w:r>
        <w:rPr>
          <w:rFonts w:ascii="Ping LCG Regular" w:hAnsi="Ping LCG Regular" w:cs="Arial"/>
          <w:b/>
          <w:spacing w:val="-14"/>
          <w:szCs w:val="28"/>
          <w:highlight w:val="yellow"/>
          <w:lang w:val="el-GR"/>
        </w:rPr>
        <w:br w:type="page"/>
      </w:r>
      <w:r w:rsidR="00E560F3" w:rsidRPr="00C93830">
        <w:rPr>
          <w:rFonts w:ascii="Ping LCG Regular" w:hAnsi="Ping LCG Regular" w:cs="Arial"/>
          <w:b/>
          <w:spacing w:val="-14"/>
          <w:szCs w:val="28"/>
          <w:lang w:val="el-GR"/>
        </w:rPr>
        <w:lastRenderedPageBreak/>
        <w:t>Εξέλιξη Βασικών Μεγεθών</w:t>
      </w:r>
      <w:r w:rsidR="003F055C">
        <w:rPr>
          <w:rFonts w:ascii="Ping LCG Regular" w:hAnsi="Ping LCG Regular" w:cs="Arial"/>
          <w:b/>
          <w:spacing w:val="-14"/>
          <w:szCs w:val="28"/>
          <w:lang w:val="el-GR"/>
        </w:rPr>
        <w:t xml:space="preserve"> Ομίλου</w:t>
      </w:r>
      <w:r w:rsidR="0090266A">
        <w:rPr>
          <w:rFonts w:ascii="Ping LCG Regular" w:hAnsi="Ping LCG Regular" w:cs="Arial"/>
          <w:b/>
          <w:spacing w:val="-14"/>
          <w:szCs w:val="28"/>
          <w:lang w:val="el-GR"/>
        </w:rPr>
        <w:t xml:space="preserve"> (</w:t>
      </w:r>
      <w:r w:rsidR="0090266A" w:rsidRPr="00E14B07">
        <w:rPr>
          <w:rFonts w:ascii="Ping LCG Regular" w:hAnsi="Ping LCG Regular" w:cs="Arial"/>
          <w:b/>
          <w:spacing w:val="-14"/>
          <w:szCs w:val="28"/>
          <w:lang w:val="el-GR"/>
        </w:rPr>
        <w:t xml:space="preserve">€ </w:t>
      </w:r>
      <w:r w:rsidR="0090266A">
        <w:rPr>
          <w:rFonts w:ascii="Ping LCG Regular" w:hAnsi="Ping LCG Regular" w:cs="Arial"/>
          <w:b/>
          <w:spacing w:val="-14"/>
          <w:szCs w:val="28"/>
          <w:lang w:val="el-GR"/>
        </w:rPr>
        <w:t>εκατ.)</w:t>
      </w:r>
    </w:p>
    <w:p w14:paraId="08364231" w14:textId="24960C06" w:rsidR="00E560F3" w:rsidRDefault="00E560F3" w:rsidP="00851841">
      <w:pPr>
        <w:rPr>
          <w:highlight w:val="yellow"/>
          <w:lang w:val="el-GR"/>
        </w:rPr>
      </w:pPr>
    </w:p>
    <w:p w14:paraId="2B57FAD4" w14:textId="366BFEF6" w:rsidR="00E560F3" w:rsidRPr="00E14B07" w:rsidRDefault="002E2996" w:rsidP="00851841">
      <w:r>
        <w:rPr>
          <w:noProof/>
        </w:rPr>
        <w:drawing>
          <wp:inline distT="0" distB="0" distL="0" distR="0" wp14:anchorId="139E8050" wp14:editId="01EF4FD7">
            <wp:extent cx="6718226" cy="15643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2371" cy="1581621"/>
                    </a:xfrm>
                    <a:prstGeom prst="rect">
                      <a:avLst/>
                    </a:prstGeom>
                    <a:noFill/>
                  </pic:spPr>
                </pic:pic>
              </a:graphicData>
            </a:graphic>
          </wp:inline>
        </w:drawing>
      </w:r>
    </w:p>
    <w:p w14:paraId="412A8BA2" w14:textId="77777777" w:rsidR="00867D8D" w:rsidRDefault="00867D8D" w:rsidP="00851841">
      <w:pPr>
        <w:rPr>
          <w:rFonts w:ascii="Ping LCG Regular" w:hAnsi="Ping LCG Regular" w:cs="Arial"/>
          <w:b/>
          <w:bCs/>
          <w:spacing w:val="-14"/>
          <w:lang w:val="el-GR"/>
        </w:rPr>
      </w:pPr>
    </w:p>
    <w:p w14:paraId="6B6B566D" w14:textId="77777777" w:rsidR="00923FA2" w:rsidRDefault="00923FA2" w:rsidP="00867D8D">
      <w:pPr>
        <w:rPr>
          <w:rFonts w:ascii="Ping LCG Regular" w:hAnsi="Ping LCG Regular" w:cs="Arial"/>
          <w:b/>
          <w:spacing w:val="-14"/>
          <w:szCs w:val="28"/>
          <w:lang w:val="el-GR"/>
        </w:rPr>
      </w:pPr>
    </w:p>
    <w:p w14:paraId="012AFE60" w14:textId="29EFBA4B" w:rsidR="00867D8D" w:rsidRPr="00B105F1" w:rsidRDefault="00867D8D" w:rsidP="00867D8D">
      <w:pPr>
        <w:rPr>
          <w:rFonts w:ascii="Ping LCG Regular" w:hAnsi="Ping LCG Regular" w:cs="Arial"/>
          <w:b/>
          <w:spacing w:val="-14"/>
          <w:szCs w:val="28"/>
          <w:lang w:val="el-GR"/>
        </w:rPr>
      </w:pPr>
      <w:r w:rsidRPr="00C93830">
        <w:rPr>
          <w:rFonts w:ascii="Ping LCG Regular" w:hAnsi="Ping LCG Regular" w:cs="Arial"/>
          <w:b/>
          <w:spacing w:val="-14"/>
          <w:szCs w:val="28"/>
          <w:lang w:val="el-GR"/>
        </w:rPr>
        <w:t xml:space="preserve">Εξέλιξη </w:t>
      </w:r>
      <w:r w:rsidR="0072415A">
        <w:rPr>
          <w:rFonts w:ascii="Ping LCG Regular" w:hAnsi="Ping LCG Regular" w:cs="Arial"/>
          <w:b/>
          <w:spacing w:val="-14"/>
          <w:szCs w:val="28"/>
          <w:lang w:val="el-GR"/>
        </w:rPr>
        <w:t xml:space="preserve">επαναλαμβανόμενου </w:t>
      </w:r>
      <w:r w:rsidR="002D5829">
        <w:rPr>
          <w:rFonts w:ascii="Ping LCG Regular" w:hAnsi="Ping LCG Regular" w:cs="Arial"/>
          <w:b/>
          <w:spacing w:val="-14"/>
          <w:szCs w:val="28"/>
        </w:rPr>
        <w:t>EBITDA</w:t>
      </w:r>
      <w:r w:rsidR="002D5829">
        <w:rPr>
          <w:rFonts w:ascii="Ping LCG Regular" w:hAnsi="Ping LCG Regular" w:cs="Arial"/>
          <w:b/>
          <w:spacing w:val="-14"/>
          <w:szCs w:val="28"/>
          <w:lang w:val="el-GR"/>
        </w:rPr>
        <w:t xml:space="preserve"> ανά δραστηριότητα </w:t>
      </w:r>
      <w:r w:rsidR="003F055C">
        <w:rPr>
          <w:rFonts w:ascii="Ping LCG Regular" w:hAnsi="Ping LCG Regular" w:cs="Arial"/>
          <w:b/>
          <w:spacing w:val="-14"/>
          <w:szCs w:val="28"/>
          <w:lang w:val="el-GR"/>
        </w:rPr>
        <w:t xml:space="preserve"> </w:t>
      </w:r>
      <w:r w:rsidR="0090266A">
        <w:rPr>
          <w:rFonts w:ascii="Ping LCG Regular" w:hAnsi="Ping LCG Regular" w:cs="Arial"/>
          <w:b/>
          <w:spacing w:val="-14"/>
          <w:szCs w:val="28"/>
          <w:lang w:val="el-GR"/>
        </w:rPr>
        <w:t>(</w:t>
      </w:r>
      <w:r w:rsidR="0090266A" w:rsidRPr="008A4701">
        <w:rPr>
          <w:rFonts w:ascii="Ping LCG Regular" w:hAnsi="Ping LCG Regular" w:cs="Arial"/>
          <w:b/>
          <w:spacing w:val="-14"/>
          <w:szCs w:val="28"/>
          <w:lang w:val="el-GR"/>
        </w:rPr>
        <w:t xml:space="preserve">€ </w:t>
      </w:r>
      <w:r w:rsidR="0090266A">
        <w:rPr>
          <w:rFonts w:ascii="Ping LCG Regular" w:hAnsi="Ping LCG Regular" w:cs="Arial"/>
          <w:b/>
          <w:spacing w:val="-14"/>
          <w:szCs w:val="28"/>
          <w:lang w:val="el-GR"/>
        </w:rPr>
        <w:t>εκατ.)</w:t>
      </w:r>
    </w:p>
    <w:p w14:paraId="7A0C9C0A" w14:textId="50CB1C2D" w:rsidR="00DF1ED8" w:rsidRDefault="00DF1ED8" w:rsidP="00867D8D">
      <w:pPr>
        <w:rPr>
          <w:rFonts w:ascii="Ping LCG Regular" w:hAnsi="Ping LCG Regular" w:cs="Arial"/>
          <w:b/>
          <w:spacing w:val="-14"/>
          <w:szCs w:val="28"/>
          <w:lang w:val="el-GR"/>
        </w:rPr>
      </w:pPr>
    </w:p>
    <w:p w14:paraId="1B04BD98" w14:textId="39664397" w:rsidR="00DF1ED8" w:rsidRDefault="00A86212" w:rsidP="00867D8D">
      <w:pPr>
        <w:rPr>
          <w:rFonts w:ascii="Ping LCG Regular" w:hAnsi="Ping LCG Regular" w:cs="Arial"/>
          <w:b/>
          <w:spacing w:val="-14"/>
          <w:szCs w:val="28"/>
          <w:lang w:val="el-GR"/>
        </w:rPr>
      </w:pPr>
      <w:r>
        <w:rPr>
          <w:rFonts w:ascii="Ping LCG Regular" w:hAnsi="Ping LCG Regular" w:cs="Arial"/>
          <w:b/>
          <w:noProof/>
          <w:spacing w:val="-14"/>
          <w:szCs w:val="28"/>
          <w:lang w:val="el-GR"/>
        </w:rPr>
        <w:drawing>
          <wp:inline distT="0" distB="0" distL="0" distR="0" wp14:anchorId="32BDB04B" wp14:editId="4ACA7638">
            <wp:extent cx="6738848" cy="18513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0842" cy="1876636"/>
                    </a:xfrm>
                    <a:prstGeom prst="rect">
                      <a:avLst/>
                    </a:prstGeom>
                    <a:noFill/>
                  </pic:spPr>
                </pic:pic>
              </a:graphicData>
            </a:graphic>
          </wp:inline>
        </w:drawing>
      </w:r>
    </w:p>
    <w:p w14:paraId="0DB7A280" w14:textId="77777777" w:rsidR="00923FA2" w:rsidRPr="002D5829" w:rsidRDefault="00923FA2" w:rsidP="00867D8D">
      <w:pPr>
        <w:rPr>
          <w:rFonts w:ascii="Ping LCG Regular" w:hAnsi="Ping LCG Regular" w:cs="Arial"/>
          <w:b/>
          <w:spacing w:val="-14"/>
          <w:szCs w:val="28"/>
          <w:lang w:val="el-GR"/>
        </w:rPr>
      </w:pPr>
    </w:p>
    <w:p w14:paraId="628CB65C" w14:textId="4B3CDD5C" w:rsidR="002D5829" w:rsidRDefault="002D5829" w:rsidP="00851841">
      <w:pPr>
        <w:rPr>
          <w:rFonts w:ascii="Ping LCG Regular" w:hAnsi="Ping LCG Regular" w:cs="Arial"/>
          <w:b/>
          <w:bCs/>
          <w:spacing w:val="-14"/>
          <w:lang w:val="el-GR"/>
        </w:rPr>
      </w:pPr>
    </w:p>
    <w:p w14:paraId="2B81C35B" w14:textId="377C3064" w:rsidR="0038307E" w:rsidRPr="00D94D56" w:rsidRDefault="0038307E" w:rsidP="00851841">
      <w:pPr>
        <w:rPr>
          <w:rFonts w:ascii="Ping LCG Regular" w:hAnsi="Ping LCG Regular" w:cs="Arial"/>
          <w:b/>
          <w:bCs/>
          <w:spacing w:val="-14"/>
          <w:lang w:val="el-GR"/>
        </w:rPr>
      </w:pPr>
      <w:r w:rsidRPr="00D94D56">
        <w:rPr>
          <w:rFonts w:ascii="Ping LCG Regular" w:hAnsi="Ping LCG Regular" w:cs="Arial"/>
          <w:b/>
          <w:bCs/>
          <w:spacing w:val="-14"/>
          <w:lang w:val="el-GR"/>
        </w:rPr>
        <w:t>Εξέλιξη κερδοφορίας</w:t>
      </w:r>
    </w:p>
    <w:p w14:paraId="6A289F9C" w14:textId="77777777" w:rsidR="00B83B0C" w:rsidRPr="00D94D56" w:rsidRDefault="00B83B0C" w:rsidP="003C1261">
      <w:pPr>
        <w:jc w:val="both"/>
        <w:rPr>
          <w:rFonts w:ascii="Ping LCG Regular" w:hAnsi="Ping LCG Regular" w:cs="Arial"/>
          <w:spacing w:val="-14"/>
          <w:lang w:val="el-GR"/>
        </w:rPr>
      </w:pPr>
    </w:p>
    <w:p w14:paraId="519973B9" w14:textId="092714C9" w:rsidR="00401F3D" w:rsidRDefault="00B95D17" w:rsidP="00401F3D">
      <w:pPr>
        <w:jc w:val="both"/>
        <w:rPr>
          <w:rFonts w:ascii="Ping LCG Regular" w:hAnsi="Ping LCG Regular" w:cs="Arial"/>
          <w:spacing w:val="-14"/>
          <w:lang w:val="el-GR"/>
        </w:rPr>
      </w:pPr>
      <w:r w:rsidRPr="00D94D56">
        <w:rPr>
          <w:rFonts w:ascii="Ping LCG Regular" w:hAnsi="Ping LCG Regular" w:cs="Arial"/>
          <w:spacing w:val="-14"/>
          <w:lang w:val="el-GR"/>
        </w:rPr>
        <w:t>Τα κέρδη προ τόκων, φόρων και αποσβέσεων  (EBITDA) σε επαναλαμβανόμενη βάση διαμορφώθηκαν σε €</w:t>
      </w:r>
      <w:r w:rsidR="008A77EE" w:rsidRPr="00D94D56">
        <w:rPr>
          <w:rFonts w:ascii="Ping LCG Regular" w:hAnsi="Ping LCG Regular" w:cs="Arial"/>
          <w:spacing w:val="-14"/>
          <w:lang w:val="el-GR"/>
        </w:rPr>
        <w:t>8</w:t>
      </w:r>
      <w:r w:rsidR="00843878" w:rsidRPr="00843878">
        <w:rPr>
          <w:rFonts w:ascii="Ping LCG Regular" w:hAnsi="Ping LCG Regular" w:cs="Arial"/>
          <w:spacing w:val="-14"/>
          <w:lang w:val="el-GR"/>
        </w:rPr>
        <w:t>71,</w:t>
      </w:r>
      <w:r w:rsidR="0028603F" w:rsidRPr="00445582">
        <w:rPr>
          <w:rFonts w:ascii="Ping LCG Regular" w:hAnsi="Ping LCG Regular" w:cs="Arial"/>
          <w:spacing w:val="-14"/>
          <w:lang w:val="el-GR"/>
        </w:rPr>
        <w:t>7</w:t>
      </w:r>
      <w:r w:rsidRPr="00D94D56">
        <w:rPr>
          <w:rFonts w:ascii="Ping LCG Regular" w:hAnsi="Ping LCG Regular" w:cs="Arial"/>
          <w:spacing w:val="-14"/>
          <w:lang w:val="el-GR"/>
        </w:rPr>
        <w:t xml:space="preserve"> εκατ. </w:t>
      </w:r>
      <w:r w:rsidR="00645440" w:rsidRPr="00D94D56">
        <w:rPr>
          <w:rFonts w:ascii="Ping LCG Regular" w:hAnsi="Ping LCG Regular" w:cs="Arial"/>
          <w:spacing w:val="-14"/>
          <w:lang w:val="el-GR"/>
        </w:rPr>
        <w:t xml:space="preserve">το 2021 </w:t>
      </w:r>
      <w:r w:rsidRPr="00D94D56">
        <w:rPr>
          <w:rFonts w:ascii="Ping LCG Regular" w:hAnsi="Ping LCG Regular" w:cs="Arial"/>
          <w:spacing w:val="-14"/>
          <w:lang w:val="el-GR"/>
        </w:rPr>
        <w:t>έναντι €</w:t>
      </w:r>
      <w:r w:rsidR="008A77EE" w:rsidRPr="00D94D56">
        <w:rPr>
          <w:rFonts w:ascii="Ping LCG Regular" w:hAnsi="Ping LCG Regular" w:cs="Arial"/>
          <w:spacing w:val="-14"/>
          <w:lang w:val="el-GR"/>
        </w:rPr>
        <w:t>8</w:t>
      </w:r>
      <w:r w:rsidR="00896C6B">
        <w:rPr>
          <w:rFonts w:ascii="Ping LCG Regular" w:hAnsi="Ping LCG Regular" w:cs="Arial"/>
          <w:spacing w:val="-14"/>
          <w:lang w:val="el-GR"/>
        </w:rPr>
        <w:t>65</w:t>
      </w:r>
      <w:r w:rsidR="008A77EE" w:rsidRPr="00D94D56">
        <w:rPr>
          <w:rFonts w:ascii="Ping LCG Regular" w:hAnsi="Ping LCG Regular" w:cs="Arial"/>
          <w:spacing w:val="-14"/>
          <w:lang w:val="el-GR"/>
        </w:rPr>
        <w:t>,</w:t>
      </w:r>
      <w:r w:rsidR="00896C6B">
        <w:rPr>
          <w:rFonts w:ascii="Ping LCG Regular" w:hAnsi="Ping LCG Regular" w:cs="Arial"/>
          <w:spacing w:val="-14"/>
          <w:lang w:val="el-GR"/>
        </w:rPr>
        <w:t>1</w:t>
      </w:r>
      <w:r w:rsidRPr="00D94D56">
        <w:rPr>
          <w:rFonts w:ascii="Ping LCG Regular" w:hAnsi="Ping LCG Regular" w:cs="Arial"/>
          <w:spacing w:val="-14"/>
          <w:lang w:val="el-GR"/>
        </w:rPr>
        <w:t xml:space="preserve"> εκατ</w:t>
      </w:r>
      <w:r w:rsidRPr="00D94D56">
        <w:rPr>
          <w:rFonts w:ascii="Ping LCG Regular" w:hAnsi="Ping LCG Regular" w:cs="Arial"/>
          <w:b/>
          <w:bCs/>
          <w:spacing w:val="-14"/>
          <w:lang w:val="el-GR"/>
        </w:rPr>
        <w:t>.</w:t>
      </w:r>
      <w:r w:rsidRPr="00D94D56">
        <w:rPr>
          <w:rFonts w:ascii="Ping LCG Regular" w:hAnsi="Ping LCG Regular" w:cs="Arial"/>
          <w:spacing w:val="-14"/>
          <w:lang w:val="el-GR"/>
        </w:rPr>
        <w:t xml:space="preserve"> το </w:t>
      </w:r>
      <w:r w:rsidR="00645440" w:rsidRPr="00D94D56">
        <w:rPr>
          <w:rFonts w:ascii="Ping LCG Regular" w:hAnsi="Ping LCG Regular" w:cs="Arial"/>
          <w:spacing w:val="-14"/>
          <w:szCs w:val="26"/>
          <w:lang w:val="el-GR"/>
        </w:rPr>
        <w:t>2020</w:t>
      </w:r>
      <w:r w:rsidRPr="00D94D56">
        <w:rPr>
          <w:rFonts w:ascii="Ping LCG Regular" w:hAnsi="Ping LCG Regular" w:cs="Arial"/>
          <w:spacing w:val="-14"/>
          <w:lang w:val="el-GR"/>
        </w:rPr>
        <w:t xml:space="preserve"> για το σύνολο του Ομίλου</w:t>
      </w:r>
      <w:r w:rsidR="003C1261" w:rsidRPr="00D94D56">
        <w:rPr>
          <w:rFonts w:ascii="Ping LCG Regular" w:hAnsi="Ping LCG Regular" w:cs="Arial"/>
          <w:spacing w:val="-14"/>
          <w:lang w:val="el-GR"/>
        </w:rPr>
        <w:t xml:space="preserve">, </w:t>
      </w:r>
      <w:r w:rsidR="00964CB7">
        <w:rPr>
          <w:rFonts w:ascii="Ping LCG Regular" w:hAnsi="Ping LCG Regular" w:cs="Arial"/>
          <w:spacing w:val="-14"/>
          <w:lang w:val="el-GR"/>
        </w:rPr>
        <w:t>παραμένοντας</w:t>
      </w:r>
      <w:r w:rsidR="00B50BBE">
        <w:rPr>
          <w:rFonts w:ascii="Ping LCG Regular" w:hAnsi="Ping LCG Regular" w:cs="Arial"/>
          <w:spacing w:val="-14"/>
          <w:lang w:val="el-GR"/>
        </w:rPr>
        <w:t xml:space="preserve"> ουσιαστικά σταθερά</w:t>
      </w:r>
      <w:r w:rsidR="00964CB7">
        <w:rPr>
          <w:rFonts w:ascii="Ping LCG Regular" w:hAnsi="Ping LCG Regular" w:cs="Arial"/>
          <w:spacing w:val="-14"/>
          <w:lang w:val="el-GR"/>
        </w:rPr>
        <w:t xml:space="preserve">, </w:t>
      </w:r>
      <w:r w:rsidR="003C1261" w:rsidRPr="00D94D56">
        <w:rPr>
          <w:rFonts w:ascii="Ping LCG Regular" w:hAnsi="Ping LCG Regular" w:cs="Arial"/>
          <w:spacing w:val="-14"/>
          <w:lang w:val="el-GR"/>
        </w:rPr>
        <w:t xml:space="preserve">με το αντίστοιχο περιθώριο να </w:t>
      </w:r>
      <w:r w:rsidR="009C5070" w:rsidRPr="00D94D56">
        <w:rPr>
          <w:rFonts w:ascii="Ping LCG Regular" w:hAnsi="Ping LCG Regular" w:cs="Arial"/>
          <w:spacing w:val="-14"/>
          <w:lang w:val="el-GR"/>
        </w:rPr>
        <w:t>διαμορφώνεται</w:t>
      </w:r>
      <w:r w:rsidR="003C1261" w:rsidRPr="00D94D56">
        <w:rPr>
          <w:rFonts w:ascii="Ping LCG Regular" w:hAnsi="Ping LCG Regular" w:cs="Arial"/>
          <w:spacing w:val="-14"/>
          <w:lang w:val="el-GR"/>
        </w:rPr>
        <w:t xml:space="preserve"> σε </w:t>
      </w:r>
      <w:r w:rsidR="00DD5F68" w:rsidRPr="00D94D56">
        <w:rPr>
          <w:rFonts w:ascii="Ping LCG Regular" w:hAnsi="Ping LCG Regular" w:cs="Arial"/>
          <w:spacing w:val="-14"/>
          <w:lang w:val="el-GR"/>
        </w:rPr>
        <w:t>1</w:t>
      </w:r>
      <w:r w:rsidR="00843878" w:rsidRPr="00843878">
        <w:rPr>
          <w:rFonts w:ascii="Ping LCG Regular" w:hAnsi="Ping LCG Regular" w:cs="Arial"/>
          <w:spacing w:val="-14"/>
          <w:lang w:val="el-GR"/>
        </w:rPr>
        <w:t>5</w:t>
      </w:r>
      <w:r w:rsidR="0000478F" w:rsidRPr="00D94D56">
        <w:rPr>
          <w:rFonts w:ascii="Ping LCG Regular" w:hAnsi="Ping LCG Regular" w:cs="Arial"/>
          <w:spacing w:val="-14"/>
          <w:lang w:val="el-GR"/>
        </w:rPr>
        <w:t>,</w:t>
      </w:r>
      <w:r w:rsidR="00843878" w:rsidRPr="00843878">
        <w:rPr>
          <w:rFonts w:ascii="Ping LCG Regular" w:hAnsi="Ping LCG Regular" w:cs="Arial"/>
          <w:spacing w:val="-14"/>
          <w:lang w:val="el-GR"/>
        </w:rPr>
        <w:t>3</w:t>
      </w:r>
      <w:r w:rsidR="003C1261" w:rsidRPr="00D94D56">
        <w:rPr>
          <w:rFonts w:ascii="Ping LCG Regular" w:hAnsi="Ping LCG Regular" w:cs="Arial"/>
          <w:spacing w:val="-14"/>
          <w:lang w:val="el-GR"/>
        </w:rPr>
        <w:t xml:space="preserve">% από </w:t>
      </w:r>
      <w:r w:rsidR="001516D6" w:rsidRPr="00D94D56">
        <w:rPr>
          <w:rFonts w:ascii="Ping LCG Regular" w:hAnsi="Ping LCG Regular" w:cs="Arial"/>
          <w:spacing w:val="-14"/>
          <w:lang w:val="el-GR"/>
        </w:rPr>
        <w:t>1</w:t>
      </w:r>
      <w:r w:rsidR="00896C6B">
        <w:rPr>
          <w:rFonts w:ascii="Ping LCG Regular" w:hAnsi="Ping LCG Regular" w:cs="Arial"/>
          <w:spacing w:val="-14"/>
          <w:lang w:val="el-GR"/>
        </w:rPr>
        <w:t>8</w:t>
      </w:r>
      <w:r w:rsidR="001516D6" w:rsidRPr="00D94D56">
        <w:rPr>
          <w:rFonts w:ascii="Ping LCG Regular" w:hAnsi="Ping LCG Regular" w:cs="Arial"/>
          <w:spacing w:val="-14"/>
          <w:lang w:val="el-GR"/>
        </w:rPr>
        <w:t>,</w:t>
      </w:r>
      <w:r w:rsidR="00896C6B">
        <w:rPr>
          <w:rFonts w:ascii="Ping LCG Regular" w:hAnsi="Ping LCG Regular" w:cs="Arial"/>
          <w:spacing w:val="-14"/>
          <w:lang w:val="el-GR"/>
        </w:rPr>
        <w:t>6</w:t>
      </w:r>
      <w:r w:rsidR="003C1261" w:rsidRPr="00D94D56">
        <w:rPr>
          <w:rFonts w:ascii="Ping LCG Regular" w:hAnsi="Ping LCG Regular" w:cs="Arial"/>
          <w:spacing w:val="-14"/>
          <w:lang w:val="el-GR"/>
        </w:rPr>
        <w:t>%</w:t>
      </w:r>
      <w:r w:rsidR="00964CB7">
        <w:rPr>
          <w:rFonts w:ascii="Ping LCG Regular" w:hAnsi="Ping LCG Regular" w:cs="Arial"/>
          <w:spacing w:val="-14"/>
          <w:lang w:val="el-GR"/>
        </w:rPr>
        <w:t>, λόγω αύξησης του κύκλου εργασιών.</w:t>
      </w:r>
      <w:r w:rsidR="00C56856" w:rsidRPr="00D94D56">
        <w:rPr>
          <w:rFonts w:ascii="Ping LCG Regular" w:hAnsi="Ping LCG Regular" w:cs="Arial"/>
          <w:spacing w:val="-14"/>
          <w:lang w:val="el-GR"/>
        </w:rPr>
        <w:t xml:space="preserve"> </w:t>
      </w:r>
      <w:r w:rsidR="004C196C" w:rsidRPr="00D94D56">
        <w:rPr>
          <w:rFonts w:ascii="Ping LCG Regular" w:hAnsi="Ping LCG Regular" w:cs="Arial"/>
          <w:spacing w:val="-14"/>
          <w:lang w:val="el-GR"/>
        </w:rPr>
        <w:t xml:space="preserve">Ειδικότερα για το </w:t>
      </w:r>
      <w:r w:rsidR="00D94D56" w:rsidRPr="00D94D56">
        <w:rPr>
          <w:rFonts w:ascii="Ping LCG Regular" w:hAnsi="Ping LCG Regular" w:cs="Arial"/>
          <w:spacing w:val="-14"/>
          <w:lang w:val="el-GR"/>
        </w:rPr>
        <w:t>δ</w:t>
      </w:r>
      <w:r w:rsidR="004C196C" w:rsidRPr="00D94D56">
        <w:rPr>
          <w:rFonts w:ascii="Ping LCG Regular" w:hAnsi="Ping LCG Regular" w:cs="Arial"/>
          <w:spacing w:val="-14"/>
          <w:lang w:val="el-GR"/>
        </w:rPr>
        <w:t>΄ τρίμηνο του 2021</w:t>
      </w:r>
      <w:r w:rsidR="000C1A3F">
        <w:rPr>
          <w:rFonts w:ascii="Ping LCG Regular" w:hAnsi="Ping LCG Regular" w:cs="Arial"/>
          <w:spacing w:val="-14"/>
          <w:lang w:val="el-GR"/>
        </w:rPr>
        <w:t>,</w:t>
      </w:r>
      <w:r w:rsidR="004C196C" w:rsidRPr="00D94D56">
        <w:rPr>
          <w:rFonts w:ascii="Ping LCG Regular" w:hAnsi="Ping LCG Regular" w:cs="Arial"/>
          <w:spacing w:val="-14"/>
          <w:lang w:val="el-GR"/>
        </w:rPr>
        <w:t xml:space="preserve"> το </w:t>
      </w:r>
      <w:r w:rsidR="004C196C" w:rsidRPr="00D94D56">
        <w:rPr>
          <w:rFonts w:ascii="Ping LCG Regular" w:hAnsi="Ping LCG Regular" w:cs="Arial"/>
          <w:spacing w:val="-14"/>
        </w:rPr>
        <w:t>EBITDA</w:t>
      </w:r>
      <w:r w:rsidR="004C196C" w:rsidRPr="00D94D56">
        <w:rPr>
          <w:rFonts w:ascii="Ping LCG Regular" w:hAnsi="Ping LCG Regular" w:cs="Arial"/>
          <w:spacing w:val="-14"/>
          <w:lang w:val="el-GR"/>
        </w:rPr>
        <w:t xml:space="preserve"> </w:t>
      </w:r>
      <w:r w:rsidR="00467266" w:rsidRPr="00D94D56">
        <w:rPr>
          <w:rFonts w:ascii="Ping LCG Regular" w:hAnsi="Ping LCG Regular" w:cs="Arial"/>
          <w:spacing w:val="-14"/>
          <w:lang w:val="el-GR"/>
        </w:rPr>
        <w:t xml:space="preserve">σε επαναλαμβανόμενη βάση </w:t>
      </w:r>
      <w:r w:rsidR="00204B2B" w:rsidRPr="00D94D56">
        <w:rPr>
          <w:rFonts w:ascii="Ping LCG Regular" w:hAnsi="Ping LCG Regular" w:cs="Arial"/>
          <w:spacing w:val="-14"/>
          <w:lang w:val="el-GR"/>
        </w:rPr>
        <w:t>διαμορφώθηκε σε €</w:t>
      </w:r>
      <w:r w:rsidR="00D94D56" w:rsidRPr="00D94D56">
        <w:rPr>
          <w:rFonts w:ascii="Ping LCG Regular" w:hAnsi="Ping LCG Regular" w:cs="Arial"/>
          <w:spacing w:val="-14"/>
          <w:lang w:val="el-GR"/>
        </w:rPr>
        <w:t>2</w:t>
      </w:r>
      <w:r w:rsidR="00843878" w:rsidRPr="00843878">
        <w:rPr>
          <w:rFonts w:ascii="Ping LCG Regular" w:hAnsi="Ping LCG Regular" w:cs="Arial"/>
          <w:spacing w:val="-14"/>
          <w:lang w:val="el-GR"/>
        </w:rPr>
        <w:t>45</w:t>
      </w:r>
      <w:r w:rsidR="00D94D56" w:rsidRPr="00D94D56">
        <w:rPr>
          <w:rFonts w:ascii="Ping LCG Regular" w:hAnsi="Ping LCG Regular" w:cs="Arial"/>
          <w:spacing w:val="-14"/>
          <w:lang w:val="el-GR"/>
        </w:rPr>
        <w:t>,</w:t>
      </w:r>
      <w:r w:rsidR="00843878" w:rsidRPr="00843878">
        <w:rPr>
          <w:rFonts w:ascii="Ping LCG Regular" w:hAnsi="Ping LCG Regular" w:cs="Arial"/>
          <w:spacing w:val="-14"/>
          <w:lang w:val="el-GR"/>
        </w:rPr>
        <w:t>2</w:t>
      </w:r>
      <w:r w:rsidR="00204B2B" w:rsidRPr="00D94D56">
        <w:rPr>
          <w:rFonts w:ascii="Ping LCG Regular" w:hAnsi="Ping LCG Regular" w:cs="Arial"/>
          <w:spacing w:val="-14"/>
          <w:lang w:val="el-GR"/>
        </w:rPr>
        <w:t xml:space="preserve"> εκατ. έναντι €</w:t>
      </w:r>
      <w:r w:rsidR="00D94D56" w:rsidRPr="00D94D56">
        <w:rPr>
          <w:rFonts w:ascii="Ping LCG Regular" w:hAnsi="Ping LCG Regular" w:cs="Arial"/>
          <w:spacing w:val="-14"/>
          <w:lang w:val="el-GR"/>
        </w:rPr>
        <w:t>1</w:t>
      </w:r>
      <w:r w:rsidR="00896C6B">
        <w:rPr>
          <w:rFonts w:ascii="Ping LCG Regular" w:hAnsi="Ping LCG Regular" w:cs="Arial"/>
          <w:spacing w:val="-14"/>
          <w:lang w:val="el-GR"/>
        </w:rPr>
        <w:t>6</w:t>
      </w:r>
      <w:r w:rsidR="005C09BA">
        <w:rPr>
          <w:rFonts w:ascii="Ping LCG Regular" w:hAnsi="Ping LCG Regular" w:cs="Arial"/>
          <w:spacing w:val="-14"/>
          <w:lang w:val="el-GR"/>
        </w:rPr>
        <w:t>9</w:t>
      </w:r>
      <w:r w:rsidR="00896C6B">
        <w:rPr>
          <w:rFonts w:ascii="Ping LCG Regular" w:hAnsi="Ping LCG Regular" w:cs="Arial"/>
          <w:spacing w:val="-14"/>
          <w:lang w:val="el-GR"/>
        </w:rPr>
        <w:t>,1</w:t>
      </w:r>
      <w:r w:rsidR="00204B2B" w:rsidRPr="00D94D56">
        <w:rPr>
          <w:rFonts w:ascii="Ping LCG Regular" w:hAnsi="Ping LCG Regular" w:cs="Arial"/>
          <w:spacing w:val="-14"/>
          <w:lang w:val="el-GR"/>
        </w:rPr>
        <w:t xml:space="preserve"> εκατ. του αντίστοιχου τριμήνου του 2020.</w:t>
      </w:r>
      <w:r w:rsidR="00401F3D" w:rsidRPr="00E14B07">
        <w:rPr>
          <w:rFonts w:ascii="Ping LCG Regular" w:hAnsi="Ping LCG Regular" w:cs="Arial"/>
          <w:spacing w:val="-14"/>
          <w:lang w:val="el-GR"/>
        </w:rPr>
        <w:t xml:space="preserve"> </w:t>
      </w:r>
      <w:r w:rsidR="00401F3D">
        <w:rPr>
          <w:rFonts w:ascii="Ping LCG Regular" w:hAnsi="Ping LCG Regular" w:cs="Arial"/>
          <w:spacing w:val="-14"/>
          <w:lang w:val="el-GR"/>
        </w:rPr>
        <w:t>Τα τελικά αποτελέσματα των επιμέρους δραστηριοτήτων του Ομίλου ενσωματώνουν και το όφελος από πράξεις αντιστάθμισης κινδύνου.</w:t>
      </w:r>
    </w:p>
    <w:p w14:paraId="698B25CF" w14:textId="77777777" w:rsidR="00A150AC" w:rsidRPr="00D94D56" w:rsidRDefault="00A150AC" w:rsidP="00AF6CD1">
      <w:pPr>
        <w:jc w:val="both"/>
        <w:rPr>
          <w:rFonts w:ascii="Ping LCG Regular" w:hAnsi="Ping LCG Regular" w:cs="Arial"/>
          <w:spacing w:val="-14"/>
          <w:lang w:val="el-GR"/>
        </w:rPr>
      </w:pPr>
    </w:p>
    <w:p w14:paraId="50A384B1" w14:textId="3884CDE8" w:rsidR="004034DE" w:rsidRDefault="008E7CA2" w:rsidP="00F04145">
      <w:pPr>
        <w:jc w:val="both"/>
        <w:rPr>
          <w:rFonts w:ascii="Ping LCG Regular" w:hAnsi="Ping LCG Regular" w:cs="Arial"/>
          <w:spacing w:val="-14"/>
          <w:highlight w:val="yellow"/>
          <w:lang w:val="el-GR"/>
        </w:rPr>
      </w:pPr>
      <w:r w:rsidRPr="00E14B07">
        <w:rPr>
          <w:rFonts w:ascii="Ping LCG Regular" w:hAnsi="Ping LCG Regular" w:cs="Arial"/>
          <w:spacing w:val="-14"/>
          <w:lang w:val="el-GR"/>
        </w:rPr>
        <w:t>Οι αυξημένες δαπάνες λόγω της ανόδου των τιμών φυσικού αερίου και δικαιωμάτων εκπομπών CO</w:t>
      </w:r>
      <w:r w:rsidRPr="00E14B07">
        <w:rPr>
          <w:rFonts w:ascii="Ping LCG Regular" w:hAnsi="Ping LCG Regular" w:cs="Arial"/>
          <w:spacing w:val="-14"/>
          <w:vertAlign w:val="subscript"/>
          <w:lang w:val="el-GR"/>
        </w:rPr>
        <w:t>2</w:t>
      </w:r>
      <w:r w:rsidR="00DD5F68" w:rsidRPr="00E14B07">
        <w:rPr>
          <w:rFonts w:ascii="Ping LCG Regular" w:hAnsi="Ping LCG Regular" w:cs="Arial"/>
          <w:spacing w:val="-14"/>
          <w:lang w:val="el-GR"/>
        </w:rPr>
        <w:t xml:space="preserve"> κ</w:t>
      </w:r>
      <w:r w:rsidRPr="00E14B07">
        <w:rPr>
          <w:rFonts w:ascii="Ping LCG Regular" w:hAnsi="Ping LCG Regular" w:cs="Arial"/>
          <w:spacing w:val="-14"/>
          <w:lang w:val="el-GR"/>
        </w:rPr>
        <w:t xml:space="preserve">αι συνακόλουθα </w:t>
      </w:r>
      <w:r w:rsidR="00330B05" w:rsidRPr="00E14B07">
        <w:rPr>
          <w:rFonts w:ascii="Ping LCG Regular" w:hAnsi="Ping LCG Regular" w:cs="Arial"/>
          <w:spacing w:val="-14"/>
          <w:lang w:val="el-GR"/>
        </w:rPr>
        <w:t xml:space="preserve">και </w:t>
      </w:r>
      <w:r w:rsidR="00AC6D79" w:rsidRPr="00E14B07">
        <w:rPr>
          <w:rFonts w:ascii="Ping LCG Regular" w:hAnsi="Ping LCG Regular" w:cs="Arial"/>
          <w:spacing w:val="-14"/>
          <w:lang w:val="el-GR"/>
        </w:rPr>
        <w:t xml:space="preserve">των τιμών </w:t>
      </w:r>
      <w:r w:rsidRPr="00E14B07">
        <w:rPr>
          <w:rFonts w:ascii="Ping LCG Regular" w:hAnsi="Ping LCG Regular" w:cs="Arial"/>
          <w:spacing w:val="-14"/>
          <w:lang w:val="el-GR"/>
        </w:rPr>
        <w:t>της χονδρεμπορικής αγοράς ηλεκτρικής ενέργειας</w:t>
      </w:r>
      <w:r w:rsidR="00330B05" w:rsidRPr="00E14B07">
        <w:rPr>
          <w:rFonts w:ascii="Ping LCG Regular" w:hAnsi="Ping LCG Regular" w:cs="Arial"/>
          <w:spacing w:val="-14"/>
          <w:lang w:val="el-GR"/>
        </w:rPr>
        <w:t>,</w:t>
      </w:r>
      <w:r w:rsidRPr="00E14B07">
        <w:rPr>
          <w:rFonts w:ascii="Ping LCG Regular" w:hAnsi="Ping LCG Regular" w:cs="Arial"/>
          <w:spacing w:val="-14"/>
          <w:lang w:val="el-GR"/>
        </w:rPr>
        <w:t xml:space="preserve"> επηρέασαν αρνητικά την λειτουργική κερδοφορία της δραστηριότητας της Εμπορίας. Αυτή η αρνητική επίπτωση αντισταθμίστηκε σε μεγάλο βαθμό</w:t>
      </w:r>
      <w:r w:rsidR="00D94D56" w:rsidRPr="00E14B07">
        <w:rPr>
          <w:rFonts w:ascii="Ping LCG Regular" w:hAnsi="Ping LCG Regular" w:cs="Arial"/>
          <w:spacing w:val="-14"/>
          <w:lang w:val="el-GR"/>
        </w:rPr>
        <w:t xml:space="preserve"> από </w:t>
      </w:r>
      <w:r w:rsidRPr="00E14B07">
        <w:rPr>
          <w:rFonts w:ascii="Ping LCG Regular" w:hAnsi="Ping LCG Regular" w:cs="Arial"/>
          <w:spacing w:val="-14"/>
          <w:lang w:val="el-GR"/>
        </w:rPr>
        <w:t>την</w:t>
      </w:r>
      <w:r w:rsidR="006A47E4" w:rsidRPr="00E14B07">
        <w:rPr>
          <w:rFonts w:ascii="Ping LCG Regular" w:hAnsi="Ping LCG Regular" w:cs="Arial"/>
          <w:spacing w:val="-14"/>
          <w:lang w:val="el-GR"/>
        </w:rPr>
        <w:t xml:space="preserve"> </w:t>
      </w:r>
      <w:r w:rsidR="009D6D21" w:rsidRPr="00E14B07">
        <w:rPr>
          <w:rFonts w:ascii="Ping LCG Regular" w:hAnsi="Ping LCG Regular" w:cs="Arial"/>
          <w:spacing w:val="-14"/>
          <w:lang w:val="el-GR"/>
        </w:rPr>
        <w:t>αύξηση του μέσου εσόδου</w:t>
      </w:r>
      <w:r w:rsidR="006A47E4" w:rsidRPr="00E14B07">
        <w:rPr>
          <w:rFonts w:ascii="Ping LCG Regular" w:hAnsi="Ping LCG Regular" w:cs="Arial"/>
          <w:spacing w:val="-14"/>
          <w:lang w:val="el-GR"/>
        </w:rPr>
        <w:t xml:space="preserve"> καθώς και από την</w:t>
      </w:r>
      <w:r w:rsidRPr="00E14B07">
        <w:rPr>
          <w:rFonts w:ascii="Ping LCG Regular" w:hAnsi="Ping LCG Regular" w:cs="Arial"/>
          <w:spacing w:val="-14"/>
          <w:lang w:val="el-GR"/>
        </w:rPr>
        <w:t xml:space="preserve"> βελτίωση του </w:t>
      </w:r>
      <w:r w:rsidR="004A07CC" w:rsidRPr="00E14B07">
        <w:rPr>
          <w:rFonts w:ascii="Ping LCG Regular" w:hAnsi="Ping LCG Regular" w:cs="Arial"/>
          <w:spacing w:val="-14"/>
          <w:lang w:val="el-GR"/>
        </w:rPr>
        <w:t>περιθωρίου κέρδους τ</w:t>
      </w:r>
      <w:r w:rsidRPr="00E14B07">
        <w:rPr>
          <w:rFonts w:ascii="Ping LCG Regular" w:hAnsi="Ping LCG Regular" w:cs="Arial"/>
          <w:spacing w:val="-14"/>
          <w:lang w:val="el-GR"/>
        </w:rPr>
        <w:t>ης Παραγωγής</w:t>
      </w:r>
      <w:r w:rsidR="00311EE6" w:rsidRPr="00E14B07">
        <w:rPr>
          <w:rFonts w:ascii="Ping LCG Regular" w:hAnsi="Ping LCG Regular" w:cs="Arial"/>
          <w:spacing w:val="-14"/>
          <w:lang w:val="el-GR"/>
        </w:rPr>
        <w:t xml:space="preserve">, το οποίο </w:t>
      </w:r>
      <w:r w:rsidR="00610C4E" w:rsidRPr="00E14B07">
        <w:rPr>
          <w:rFonts w:ascii="Ping LCG Regular" w:hAnsi="Ping LCG Regular" w:cs="Arial"/>
          <w:spacing w:val="-14"/>
          <w:lang w:val="el-GR"/>
        </w:rPr>
        <w:t>συνέβαλε στην στήριξη των πελατών</w:t>
      </w:r>
      <w:r w:rsidR="006A47E4" w:rsidRPr="00E14B07">
        <w:rPr>
          <w:rFonts w:ascii="Ping LCG Regular" w:hAnsi="Ping LCG Regular" w:cs="Arial"/>
          <w:spacing w:val="-14"/>
          <w:lang w:val="el-GR"/>
        </w:rPr>
        <w:t>.</w:t>
      </w:r>
      <w:r w:rsidR="004B2B1A" w:rsidRPr="00401F3D">
        <w:rPr>
          <w:rFonts w:ascii="Ping LCG Regular" w:hAnsi="Ping LCG Regular" w:cs="Arial"/>
          <w:spacing w:val="-14"/>
          <w:lang w:val="el-GR"/>
        </w:rPr>
        <w:t xml:space="preserve"> Στην </w:t>
      </w:r>
      <w:r w:rsidR="004B2B1A" w:rsidRPr="00E14B07">
        <w:rPr>
          <w:rFonts w:ascii="Ping LCG Regular" w:hAnsi="Ping LCG Regular" w:cs="Arial"/>
          <w:spacing w:val="-14"/>
          <w:lang w:val="el-GR"/>
        </w:rPr>
        <w:t xml:space="preserve">δραστηριότητα της Παραγωγής και </w:t>
      </w:r>
      <w:r w:rsidR="00997651" w:rsidRPr="00E14B07">
        <w:rPr>
          <w:rFonts w:ascii="Ping LCG Regular" w:hAnsi="Ping LCG Regular" w:cs="Arial"/>
          <w:spacing w:val="-14"/>
          <w:lang w:val="el-GR"/>
        </w:rPr>
        <w:t>της Εμπορίας</w:t>
      </w:r>
      <w:r w:rsidR="006A47E4" w:rsidRPr="00E14B07">
        <w:rPr>
          <w:rFonts w:ascii="Ping LCG Regular" w:hAnsi="Ping LCG Regular" w:cs="Arial"/>
          <w:spacing w:val="-14"/>
          <w:lang w:val="el-GR"/>
        </w:rPr>
        <w:t xml:space="preserve">, θετικά </w:t>
      </w:r>
      <w:proofErr w:type="spellStart"/>
      <w:r w:rsidR="006A47E4" w:rsidRPr="00E14B07">
        <w:rPr>
          <w:rFonts w:ascii="Ping LCG Regular" w:hAnsi="Ping LCG Regular" w:cs="Arial"/>
          <w:spacing w:val="-14"/>
          <w:lang w:val="el-GR"/>
        </w:rPr>
        <w:t>επέδρασε</w:t>
      </w:r>
      <w:proofErr w:type="spellEnd"/>
      <w:r w:rsidR="006A47E4" w:rsidRPr="00E14B07">
        <w:rPr>
          <w:rFonts w:ascii="Ping LCG Regular" w:hAnsi="Ping LCG Regular" w:cs="Arial"/>
          <w:spacing w:val="-14"/>
          <w:lang w:val="el-GR"/>
        </w:rPr>
        <w:t xml:space="preserve"> και η </w:t>
      </w:r>
      <w:r w:rsidR="001447F2" w:rsidRPr="00E14B07">
        <w:rPr>
          <w:rFonts w:ascii="Ping LCG Regular" w:hAnsi="Ping LCG Regular" w:cs="Arial"/>
          <w:spacing w:val="-14"/>
          <w:lang w:val="el-GR"/>
        </w:rPr>
        <w:t>διενέργεια</w:t>
      </w:r>
      <w:r w:rsidR="00B152E5" w:rsidRPr="00E14B07">
        <w:rPr>
          <w:rFonts w:ascii="Ping LCG Regular" w:hAnsi="Ping LCG Regular" w:cs="Arial"/>
          <w:spacing w:val="-14"/>
          <w:lang w:val="el-GR"/>
        </w:rPr>
        <w:t xml:space="preserve"> </w:t>
      </w:r>
      <w:r w:rsidR="001447F2" w:rsidRPr="00E14B07">
        <w:rPr>
          <w:rFonts w:ascii="Ping LCG Regular" w:hAnsi="Ping LCG Regular" w:cs="Arial"/>
          <w:spacing w:val="-14"/>
          <w:lang w:val="el-GR"/>
        </w:rPr>
        <w:t xml:space="preserve"> πράξεων για την </w:t>
      </w:r>
      <w:r w:rsidR="00113920" w:rsidRPr="00E14B07">
        <w:rPr>
          <w:rFonts w:ascii="Ping LCG Regular" w:hAnsi="Ping LCG Regular" w:cs="Arial"/>
          <w:spacing w:val="-14"/>
          <w:lang w:val="el-GR"/>
        </w:rPr>
        <w:t>αντιστάθμιση του κινδύνου της διακύμανσης των τιμών ηλεκτρικής ενέργειας</w:t>
      </w:r>
      <w:r w:rsidR="004034DE" w:rsidRPr="00E14B07">
        <w:rPr>
          <w:rFonts w:ascii="Ping LCG Regular" w:hAnsi="Ping LCG Regular" w:cs="Arial"/>
          <w:spacing w:val="-14"/>
          <w:lang w:val="el-GR"/>
        </w:rPr>
        <w:t xml:space="preserve">, </w:t>
      </w:r>
      <w:r w:rsidR="00113920" w:rsidRPr="00E14B07">
        <w:rPr>
          <w:rFonts w:ascii="Ping LCG Regular" w:hAnsi="Ping LCG Regular" w:cs="Arial"/>
          <w:spacing w:val="-14"/>
          <w:lang w:val="el-GR"/>
        </w:rPr>
        <w:t>φυσικού αερίου</w:t>
      </w:r>
      <w:r w:rsidR="003727A8" w:rsidRPr="00E14B07">
        <w:rPr>
          <w:rFonts w:ascii="Ping LCG Regular" w:hAnsi="Ping LCG Regular" w:cs="Arial"/>
          <w:spacing w:val="-14"/>
          <w:lang w:val="el-GR"/>
        </w:rPr>
        <w:t xml:space="preserve">, </w:t>
      </w:r>
      <w:r w:rsidR="004034DE" w:rsidRPr="00E14B07">
        <w:rPr>
          <w:rFonts w:ascii="Ping LCG Regular" w:hAnsi="Ping LCG Regular" w:cs="Arial"/>
          <w:spacing w:val="-14"/>
          <w:lang w:val="el-GR"/>
        </w:rPr>
        <w:t xml:space="preserve">και </w:t>
      </w:r>
      <w:r w:rsidR="004E36D5" w:rsidRPr="00E14B07">
        <w:rPr>
          <w:rFonts w:ascii="Ping LCG Regular" w:hAnsi="Ping LCG Regular" w:cs="Arial"/>
          <w:spacing w:val="-14"/>
          <w:lang w:val="el-GR"/>
        </w:rPr>
        <w:t>δικαιωμάτων</w:t>
      </w:r>
      <w:r w:rsidR="004034DE" w:rsidRPr="00E14B07">
        <w:rPr>
          <w:rFonts w:ascii="Ping LCG Regular" w:hAnsi="Ping LCG Regular" w:cs="Arial"/>
          <w:spacing w:val="-14"/>
          <w:lang w:val="el-GR"/>
        </w:rPr>
        <w:t xml:space="preserve"> εκπομπής </w:t>
      </w:r>
      <w:r w:rsidR="004034DE" w:rsidRPr="00E14B07">
        <w:rPr>
          <w:rFonts w:ascii="Ping LCG Regular" w:hAnsi="Ping LCG Regular" w:cs="Arial"/>
          <w:spacing w:val="-14"/>
        </w:rPr>
        <w:t>CO</w:t>
      </w:r>
      <w:r w:rsidR="004034DE" w:rsidRPr="00E14B07">
        <w:rPr>
          <w:rFonts w:ascii="Ping LCG Regular" w:hAnsi="Ping LCG Regular" w:cs="Arial"/>
          <w:spacing w:val="-14"/>
          <w:vertAlign w:val="subscript"/>
          <w:lang w:val="el-GR"/>
        </w:rPr>
        <w:t>2</w:t>
      </w:r>
      <w:r w:rsidR="004034DE" w:rsidRPr="00E14B07">
        <w:rPr>
          <w:rFonts w:ascii="Ping LCG Regular" w:hAnsi="Ping LCG Regular" w:cs="Arial"/>
          <w:spacing w:val="-14"/>
          <w:lang w:val="el-GR"/>
        </w:rPr>
        <w:t>.</w:t>
      </w:r>
    </w:p>
    <w:p w14:paraId="0DE63342" w14:textId="53491BC1" w:rsidR="007F5A82" w:rsidRPr="00D94D56" w:rsidRDefault="007F5A82" w:rsidP="00F04145">
      <w:pPr>
        <w:jc w:val="both"/>
        <w:rPr>
          <w:rFonts w:ascii="Ping LCG Regular" w:hAnsi="Ping LCG Regular" w:cs="Arial"/>
          <w:spacing w:val="-14"/>
          <w:lang w:val="el-GR"/>
        </w:rPr>
      </w:pPr>
    </w:p>
    <w:p w14:paraId="69A3A729" w14:textId="4CFAA383" w:rsidR="0023554D" w:rsidRDefault="00401F3D" w:rsidP="00FC2CF5">
      <w:pPr>
        <w:ind w:firstLine="11"/>
        <w:jc w:val="both"/>
        <w:rPr>
          <w:rFonts w:ascii="Ping LCG Regular" w:hAnsi="Ping LCG Regular" w:cs="Arial"/>
          <w:spacing w:val="-14"/>
          <w:szCs w:val="26"/>
          <w:lang w:val="el-GR"/>
        </w:rPr>
      </w:pPr>
      <w:r>
        <w:rPr>
          <w:rFonts w:ascii="Ping LCG Regular" w:hAnsi="Ping LCG Regular" w:cs="Arial"/>
          <w:spacing w:val="-14"/>
        </w:rPr>
        <w:lastRenderedPageBreak/>
        <w:t>T</w:t>
      </w:r>
      <w:r w:rsidR="001B4B5B" w:rsidRPr="00B97A9A">
        <w:rPr>
          <w:rFonts w:ascii="Ping LCG Regular" w:hAnsi="Ping LCG Regular" w:cs="Arial"/>
          <w:spacing w:val="-14"/>
          <w:lang w:val="el-GR"/>
        </w:rPr>
        <w:t xml:space="preserve">α </w:t>
      </w:r>
      <w:r w:rsidR="00DD5F68" w:rsidRPr="00B97A9A">
        <w:rPr>
          <w:rFonts w:ascii="Ping LCG Regular" w:hAnsi="Ping LCG Regular" w:cs="Arial"/>
          <w:spacing w:val="-14"/>
          <w:lang w:val="el-GR"/>
        </w:rPr>
        <w:t>αποτελέσματα</w:t>
      </w:r>
      <w:r w:rsidR="001B4B5B" w:rsidRPr="00B97A9A">
        <w:rPr>
          <w:rFonts w:ascii="Ping LCG Regular" w:hAnsi="Ping LCG Regular" w:cs="Arial"/>
          <w:spacing w:val="-14"/>
          <w:lang w:val="el-GR"/>
        </w:rPr>
        <w:t xml:space="preserve"> </w:t>
      </w:r>
      <w:r w:rsidR="003812C2" w:rsidRPr="00B97A9A">
        <w:rPr>
          <w:rFonts w:ascii="Ping LCG Regular" w:hAnsi="Ping LCG Regular" w:cs="Arial"/>
          <w:spacing w:val="-14"/>
          <w:lang w:val="el-GR"/>
        </w:rPr>
        <w:t xml:space="preserve">μετά από φόρους διαμορφώθηκαν σε </w:t>
      </w:r>
      <w:r w:rsidR="00896C6B" w:rsidRPr="00896C6B">
        <w:rPr>
          <w:rFonts w:ascii="Ping LCG Regular" w:hAnsi="Ping LCG Regular" w:cs="Arial"/>
          <w:spacing w:val="-14"/>
          <w:lang w:val="el-GR"/>
        </w:rPr>
        <w:t>ζημίες</w:t>
      </w:r>
      <w:r w:rsidR="00DD5F68" w:rsidRPr="00896C6B">
        <w:rPr>
          <w:rFonts w:ascii="Ping LCG Regular" w:hAnsi="Ping LCG Regular" w:cs="Arial"/>
          <w:spacing w:val="-14"/>
          <w:lang w:val="el-GR"/>
        </w:rPr>
        <w:t xml:space="preserve"> </w:t>
      </w:r>
      <w:r w:rsidR="001B4B5B" w:rsidRPr="00896C6B">
        <w:rPr>
          <w:rFonts w:ascii="Ping LCG Regular" w:hAnsi="Ping LCG Regular" w:cs="Arial"/>
          <w:spacing w:val="-14"/>
          <w:lang w:val="el-GR"/>
        </w:rPr>
        <w:t>€</w:t>
      </w:r>
      <w:r w:rsidR="005C09BA">
        <w:rPr>
          <w:rFonts w:ascii="Ping LCG Regular" w:hAnsi="Ping LCG Regular" w:cs="Arial"/>
          <w:spacing w:val="-14"/>
          <w:lang w:val="el-GR"/>
        </w:rPr>
        <w:t>18</w:t>
      </w:r>
      <w:r w:rsidR="00C16409" w:rsidRPr="00637252">
        <w:rPr>
          <w:rFonts w:ascii="Ping LCG Regular" w:hAnsi="Ping LCG Regular" w:cs="Arial"/>
          <w:spacing w:val="-14"/>
          <w:lang w:val="el-GR"/>
        </w:rPr>
        <w:t>,</w:t>
      </w:r>
      <w:r w:rsidR="005C09BA">
        <w:rPr>
          <w:rFonts w:ascii="Ping LCG Regular" w:hAnsi="Ping LCG Regular" w:cs="Arial"/>
          <w:spacing w:val="-14"/>
          <w:lang w:val="el-GR"/>
        </w:rPr>
        <w:t>4</w:t>
      </w:r>
      <w:r w:rsidR="001B4B5B" w:rsidRPr="00896C6B">
        <w:rPr>
          <w:rFonts w:ascii="Ping LCG Regular" w:hAnsi="Ping LCG Regular" w:cs="Arial"/>
          <w:spacing w:val="-14"/>
          <w:lang w:val="el-GR"/>
        </w:rPr>
        <w:t xml:space="preserve"> εκατ. </w:t>
      </w:r>
      <w:r w:rsidR="00DD5F68" w:rsidRPr="00896C6B">
        <w:rPr>
          <w:rFonts w:ascii="Ping LCG Regular" w:hAnsi="Ping LCG Regular" w:cs="Arial"/>
          <w:spacing w:val="-14"/>
          <w:lang w:val="el-GR"/>
        </w:rPr>
        <w:t>έναντι κερδών</w:t>
      </w:r>
      <w:r w:rsidR="002C17BB" w:rsidRPr="00896C6B">
        <w:rPr>
          <w:rFonts w:ascii="Ping LCG Regular" w:hAnsi="Ping LCG Regular" w:cs="Arial"/>
          <w:spacing w:val="-14"/>
          <w:lang w:val="el-GR"/>
        </w:rPr>
        <w:t xml:space="preserve"> </w:t>
      </w:r>
      <w:r w:rsidR="001B4B5B" w:rsidRPr="00896C6B">
        <w:rPr>
          <w:rFonts w:ascii="Ping LCG Regular" w:hAnsi="Ping LCG Regular" w:cs="Arial"/>
          <w:spacing w:val="-14"/>
          <w:lang w:val="el-GR"/>
        </w:rPr>
        <w:t>€</w:t>
      </w:r>
      <w:r w:rsidR="00896C6B" w:rsidRPr="00896C6B">
        <w:rPr>
          <w:rFonts w:ascii="Ping LCG Regular" w:hAnsi="Ping LCG Regular" w:cs="Arial"/>
          <w:spacing w:val="-14"/>
          <w:lang w:val="el-GR"/>
        </w:rPr>
        <w:t xml:space="preserve">19,5 </w:t>
      </w:r>
      <w:r w:rsidR="001B4B5B" w:rsidRPr="00896C6B">
        <w:rPr>
          <w:rFonts w:ascii="Ping LCG Regular" w:hAnsi="Ping LCG Regular" w:cs="Arial"/>
          <w:spacing w:val="-14"/>
          <w:lang w:val="el-GR"/>
        </w:rPr>
        <w:t>εκατ.</w:t>
      </w:r>
      <w:r w:rsidR="003D3F41" w:rsidRPr="00896C6B">
        <w:rPr>
          <w:rFonts w:ascii="Ping LCG Regular" w:hAnsi="Ping LCG Regular" w:cs="Arial"/>
          <w:spacing w:val="-14"/>
          <w:lang w:val="el-GR"/>
        </w:rPr>
        <w:t xml:space="preserve"> </w:t>
      </w:r>
      <w:r w:rsidR="002C17BB" w:rsidRPr="00896C6B">
        <w:rPr>
          <w:rFonts w:ascii="Ping LCG Regular" w:hAnsi="Ping LCG Regular" w:cs="Arial"/>
          <w:spacing w:val="-14"/>
          <w:lang w:val="el-GR"/>
        </w:rPr>
        <w:t xml:space="preserve">το </w:t>
      </w:r>
      <w:r w:rsidR="003D3F41" w:rsidRPr="00896C6B">
        <w:rPr>
          <w:rFonts w:ascii="Ping LCG Regular" w:hAnsi="Ping LCG Regular" w:cs="Arial"/>
          <w:spacing w:val="-14"/>
          <w:szCs w:val="26"/>
          <w:lang w:val="el-GR"/>
        </w:rPr>
        <w:t>2020</w:t>
      </w:r>
      <w:r w:rsidR="003812C2" w:rsidRPr="00896C6B">
        <w:rPr>
          <w:rFonts w:ascii="Ping LCG Regular" w:hAnsi="Ping LCG Regular" w:cs="Arial"/>
          <w:spacing w:val="-14"/>
          <w:szCs w:val="26"/>
          <w:lang w:val="el-GR"/>
        </w:rPr>
        <w:t>.</w:t>
      </w:r>
      <w:r w:rsidR="00204B2B" w:rsidRPr="00896C6B">
        <w:rPr>
          <w:rFonts w:ascii="Ping LCG Regular" w:hAnsi="Ping LCG Regular" w:cs="Arial"/>
          <w:spacing w:val="-14"/>
          <w:szCs w:val="26"/>
          <w:lang w:val="el-GR"/>
        </w:rPr>
        <w:t xml:space="preserve"> Αντίστοιχα για το </w:t>
      </w:r>
      <w:r w:rsidR="00D94D56" w:rsidRPr="00896C6B">
        <w:rPr>
          <w:rFonts w:ascii="Ping LCG Regular" w:hAnsi="Ping LCG Regular" w:cs="Arial"/>
          <w:spacing w:val="-14"/>
          <w:szCs w:val="26"/>
          <w:lang w:val="el-GR"/>
        </w:rPr>
        <w:t>δ</w:t>
      </w:r>
      <w:r w:rsidR="00204B2B" w:rsidRPr="00896C6B">
        <w:rPr>
          <w:rFonts w:ascii="Ping LCG Regular" w:hAnsi="Ping LCG Regular" w:cs="Arial"/>
          <w:spacing w:val="-14"/>
          <w:szCs w:val="26"/>
          <w:lang w:val="el-GR"/>
        </w:rPr>
        <w:t xml:space="preserve">’ τρίμηνο του 2021 τα αποτελέσματα μετά από φόρους διαμορφώθηκαν σε </w:t>
      </w:r>
      <w:r w:rsidR="00843878" w:rsidRPr="00896C6B">
        <w:rPr>
          <w:rFonts w:ascii="Ping LCG Regular" w:hAnsi="Ping LCG Regular" w:cs="Arial"/>
          <w:spacing w:val="-14"/>
          <w:szCs w:val="26"/>
          <w:lang w:val="el-GR"/>
        </w:rPr>
        <w:t>κέρδη</w:t>
      </w:r>
      <w:r w:rsidR="00204B2B" w:rsidRPr="00896C6B">
        <w:rPr>
          <w:rFonts w:ascii="Ping LCG Regular" w:hAnsi="Ping LCG Regular" w:cs="Arial"/>
          <w:spacing w:val="-14"/>
          <w:szCs w:val="26"/>
          <w:lang w:val="el-GR"/>
        </w:rPr>
        <w:t xml:space="preserve"> €</w:t>
      </w:r>
      <w:r w:rsidR="005C09BA">
        <w:rPr>
          <w:rFonts w:ascii="Ping LCG Regular" w:hAnsi="Ping LCG Regular" w:cs="Arial"/>
          <w:spacing w:val="-14"/>
          <w:szCs w:val="26"/>
          <w:lang w:val="el-GR"/>
        </w:rPr>
        <w:t>23</w:t>
      </w:r>
      <w:r w:rsidR="00843878" w:rsidRPr="00896C6B">
        <w:rPr>
          <w:rFonts w:ascii="Ping LCG Regular" w:hAnsi="Ping LCG Regular" w:cs="Arial"/>
          <w:spacing w:val="-14"/>
          <w:szCs w:val="26"/>
          <w:lang w:val="el-GR"/>
        </w:rPr>
        <w:t>,</w:t>
      </w:r>
      <w:r w:rsidR="005C09BA">
        <w:rPr>
          <w:rFonts w:ascii="Ping LCG Regular" w:hAnsi="Ping LCG Regular" w:cs="Arial"/>
          <w:spacing w:val="-14"/>
          <w:szCs w:val="26"/>
          <w:lang w:val="el-GR"/>
        </w:rPr>
        <w:t>8</w:t>
      </w:r>
      <w:r w:rsidR="00204B2B" w:rsidRPr="00896C6B">
        <w:rPr>
          <w:rFonts w:ascii="Ping LCG Regular" w:hAnsi="Ping LCG Regular" w:cs="Arial"/>
          <w:spacing w:val="-14"/>
          <w:szCs w:val="26"/>
          <w:lang w:val="el-GR"/>
        </w:rPr>
        <w:t xml:space="preserve"> εκατ. έναντι </w:t>
      </w:r>
      <w:r w:rsidR="00B97A9A" w:rsidRPr="00896C6B">
        <w:rPr>
          <w:rFonts w:ascii="Ping LCG Regular" w:hAnsi="Ping LCG Regular" w:cs="Arial"/>
          <w:spacing w:val="-14"/>
          <w:szCs w:val="26"/>
          <w:lang w:val="el-GR"/>
        </w:rPr>
        <w:t>κερδών</w:t>
      </w:r>
      <w:r w:rsidR="00B97A9A" w:rsidRPr="00B97A9A">
        <w:rPr>
          <w:rFonts w:ascii="Ping LCG Regular" w:hAnsi="Ping LCG Regular" w:cs="Arial"/>
          <w:spacing w:val="-14"/>
          <w:szCs w:val="26"/>
          <w:lang w:val="el-GR"/>
        </w:rPr>
        <w:t xml:space="preserve"> </w:t>
      </w:r>
      <w:r w:rsidR="00204B2B" w:rsidRPr="00B97A9A">
        <w:rPr>
          <w:rFonts w:ascii="Ping LCG Regular" w:hAnsi="Ping LCG Regular" w:cs="Arial"/>
          <w:spacing w:val="-14"/>
          <w:szCs w:val="26"/>
          <w:lang w:val="el-GR"/>
        </w:rPr>
        <w:t>€</w:t>
      </w:r>
      <w:r w:rsidR="00896C6B">
        <w:rPr>
          <w:rFonts w:ascii="Ping LCG Regular" w:hAnsi="Ping LCG Regular" w:cs="Arial"/>
          <w:spacing w:val="-14"/>
          <w:szCs w:val="26"/>
          <w:lang w:val="el-GR"/>
        </w:rPr>
        <w:t>6,7</w:t>
      </w:r>
      <w:r w:rsidR="00204B2B" w:rsidRPr="00B97A9A">
        <w:rPr>
          <w:rFonts w:ascii="Ping LCG Regular" w:hAnsi="Ping LCG Regular" w:cs="Arial"/>
          <w:spacing w:val="-14"/>
          <w:szCs w:val="26"/>
          <w:lang w:val="el-GR"/>
        </w:rPr>
        <w:t xml:space="preserve"> εκατ. το </w:t>
      </w:r>
      <w:r w:rsidR="00D94D56" w:rsidRPr="00B97A9A">
        <w:rPr>
          <w:rFonts w:ascii="Ping LCG Regular" w:hAnsi="Ping LCG Regular" w:cs="Arial"/>
          <w:spacing w:val="-14"/>
          <w:szCs w:val="26"/>
          <w:lang w:val="el-GR"/>
        </w:rPr>
        <w:t>δ</w:t>
      </w:r>
      <w:r w:rsidR="00204B2B" w:rsidRPr="00B97A9A">
        <w:rPr>
          <w:rFonts w:ascii="Ping LCG Regular" w:hAnsi="Ping LCG Regular" w:cs="Arial"/>
          <w:spacing w:val="-14"/>
          <w:szCs w:val="26"/>
          <w:lang w:val="el-GR"/>
        </w:rPr>
        <w:t>’ τρίμηνο 2020.</w:t>
      </w:r>
      <w:r w:rsidR="007A3638">
        <w:rPr>
          <w:rFonts w:ascii="Ping LCG Regular" w:hAnsi="Ping LCG Regular" w:cs="Arial"/>
          <w:spacing w:val="-14"/>
          <w:szCs w:val="26"/>
          <w:lang w:val="el-GR"/>
        </w:rPr>
        <w:t xml:space="preserve"> </w:t>
      </w:r>
      <w:r w:rsidR="00B52C1B" w:rsidRPr="00E14B07">
        <w:rPr>
          <w:rFonts w:ascii="Ping LCG Regular" w:hAnsi="Ping LCG Regular" w:cs="Arial"/>
          <w:color w:val="FF0000"/>
          <w:spacing w:val="-14"/>
          <w:szCs w:val="26"/>
          <w:lang w:val="el-GR"/>
        </w:rPr>
        <w:t xml:space="preserve"> </w:t>
      </w:r>
    </w:p>
    <w:p w14:paraId="12FD8C46" w14:textId="77777777" w:rsidR="00B9317E" w:rsidRDefault="00B9317E" w:rsidP="00B9317E">
      <w:pPr>
        <w:ind w:firstLine="11"/>
        <w:jc w:val="both"/>
        <w:rPr>
          <w:rFonts w:ascii="Ping LCG Regular" w:hAnsi="Ping LCG Regular" w:cs="Arial"/>
          <w:color w:val="FF0000"/>
          <w:spacing w:val="-14"/>
          <w:szCs w:val="26"/>
          <w:lang w:val="el-GR"/>
        </w:rPr>
      </w:pPr>
    </w:p>
    <w:p w14:paraId="168804E1" w14:textId="7B2FEC79" w:rsidR="004F3806" w:rsidRDefault="004F3806" w:rsidP="007F675C">
      <w:pPr>
        <w:jc w:val="both"/>
        <w:rPr>
          <w:rFonts w:ascii="Ping LCG Regular" w:hAnsi="Ping LCG Regular" w:cs="Arial"/>
          <w:spacing w:val="-14"/>
          <w:lang w:val="el-GR"/>
        </w:rPr>
      </w:pPr>
    </w:p>
    <w:p w14:paraId="068E3088" w14:textId="77777777" w:rsidR="001D014F" w:rsidRPr="001D014F" w:rsidRDefault="001D014F" w:rsidP="001D014F">
      <w:pPr>
        <w:jc w:val="both"/>
        <w:rPr>
          <w:rFonts w:ascii="Ping LCG Regular" w:hAnsi="Ping LCG Regular"/>
          <w:b/>
          <w:bCs/>
          <w:lang w:val="el-GR"/>
        </w:rPr>
      </w:pPr>
      <w:bookmarkStart w:id="1" w:name="_Hlk99451926"/>
      <w:r w:rsidRPr="001D014F">
        <w:rPr>
          <w:rFonts w:ascii="Ping LCG Regular" w:hAnsi="Ping LCG Regular"/>
          <w:b/>
          <w:bCs/>
          <w:lang w:val="el-GR"/>
        </w:rPr>
        <w:t>Σύρραξη Ρωσίας-Ουκρανίας</w:t>
      </w:r>
    </w:p>
    <w:p w14:paraId="17E88B54" w14:textId="77777777" w:rsidR="001D014F" w:rsidRDefault="001D014F" w:rsidP="001D014F">
      <w:pPr>
        <w:jc w:val="both"/>
        <w:rPr>
          <w:rFonts w:ascii="Ping LCG Regular" w:hAnsi="Ping LCG Regular"/>
          <w:lang w:val="el-GR"/>
        </w:rPr>
      </w:pPr>
    </w:p>
    <w:p w14:paraId="4F35D8A7" w14:textId="77777777" w:rsidR="001D014F" w:rsidRPr="00740667" w:rsidRDefault="001D014F" w:rsidP="001D014F">
      <w:pPr>
        <w:jc w:val="both"/>
        <w:rPr>
          <w:rFonts w:ascii="Ping LCG Regular" w:hAnsi="Ping LCG Regular"/>
          <w:lang w:val="el-GR"/>
        </w:rPr>
      </w:pPr>
      <w:r w:rsidRPr="00740667">
        <w:rPr>
          <w:rFonts w:ascii="Ping LCG Regular" w:hAnsi="Ping LCG Regular"/>
          <w:lang w:val="el-GR"/>
        </w:rPr>
        <w:t>Η τρέχουσα γεωπολιτική κρίση στην Ουκρανία, σε συνδυασμό με τις οικονομικές κυρώσεις που έχουν επιβληθεί στη Ρωσία από την Ευρωπαϊκή Ένωση και τις Ηνωμένες Πολιτείες της Αμερικής έχουν δημιουργήσει συνθήκες αβεβαιότητας στο οικονομικό περιβάλλον σε Ευρωπαϊκό και παγκόσμιο επίπεδο.</w:t>
      </w:r>
    </w:p>
    <w:p w14:paraId="5FC54EEA" w14:textId="77777777" w:rsidR="001D014F" w:rsidRPr="00740667" w:rsidRDefault="001D014F" w:rsidP="001D014F">
      <w:pPr>
        <w:jc w:val="both"/>
        <w:rPr>
          <w:rFonts w:ascii="Ping LCG Regular" w:hAnsi="Ping LCG Regular"/>
          <w:lang w:val="el-GR"/>
        </w:rPr>
      </w:pPr>
      <w:r w:rsidRPr="00740667">
        <w:rPr>
          <w:rFonts w:ascii="Ping LCG Regular" w:hAnsi="Ping LCG Regular"/>
          <w:lang w:val="el-GR"/>
        </w:rPr>
        <w:t xml:space="preserve">Ο Όμιλος ΔΕΗ δεν διαθέτει άμεση έκθεση στις εν λόγω χώρες καθώς δεν διαθέτει σχετική εμπορική παρουσία, με αποτέλεσμα να μην προκύπτει άμεση επίδραση στις δραστηριότητές του. </w:t>
      </w:r>
    </w:p>
    <w:p w14:paraId="2F715574" w14:textId="77777777" w:rsidR="001D014F" w:rsidRPr="00740667" w:rsidRDefault="001D014F" w:rsidP="001D014F">
      <w:pPr>
        <w:jc w:val="both"/>
        <w:rPr>
          <w:rFonts w:ascii="Ping LCG Regular" w:hAnsi="Ping LCG Regular"/>
          <w:lang w:val="el-GR"/>
        </w:rPr>
      </w:pPr>
      <w:r w:rsidRPr="00740667">
        <w:rPr>
          <w:rFonts w:ascii="Ping LCG Regular" w:hAnsi="Ping LCG Regular"/>
          <w:lang w:val="el-GR"/>
        </w:rPr>
        <w:t xml:space="preserve">Το αυξημένο κόστος στην χονδρεμπορική αγορά ηλεκτρικής ενέργειας λόγω της πρωτοφανούς αύξησης της τιμής φυσικού αερίου αποτελεί μία εξέλιξη που επηρεάζει εμμέσως τις δραστηριότητες του Ομίλου, ο οποίος όμως προστατεύεται σε μεγάλο βαθμό από την καθετοποιημένη φύση των δραστηριοτήτων του, λόγω της παρουσίας του τόσο στην παραγωγή όσο και στην εμπορία ηλεκτρικής ενέργειας.  Έμμεσες επιπτώσεις ενδέχεται να προκύψουν λόγω της συνεπακόλουθης μείωσης του διαθέσιμου εισοδήματος των πελατών μας, ως αποτέλεσμα του αυξημένου ενεργειακού κόστους και της ενίσχυσης των πληθωριστικών πιέσεων.  </w:t>
      </w:r>
    </w:p>
    <w:p w14:paraId="29E812F1" w14:textId="631D735F" w:rsidR="001D014F" w:rsidRPr="00B26EE8" w:rsidRDefault="001D014F" w:rsidP="001D014F">
      <w:pPr>
        <w:jc w:val="both"/>
        <w:rPr>
          <w:rFonts w:ascii="Ping LCG Regular" w:hAnsi="Ping LCG Regular"/>
          <w:b/>
          <w:bCs/>
          <w:highlight w:val="yellow"/>
          <w:lang w:val="el-GR"/>
        </w:rPr>
      </w:pPr>
      <w:r w:rsidRPr="00740667">
        <w:rPr>
          <w:rFonts w:ascii="Ping LCG Regular" w:hAnsi="Ping LCG Regular"/>
          <w:lang w:val="el-GR"/>
        </w:rPr>
        <w:t>Η όποια συνολική τελική οικονομική επίδραση από την σύρραξη Ρωσίας-Ουκρανίας στην παγκόσμια και την ελληνική οικονομία και τις επιχειρηματικές δραστηριότητες, δεν μπορεί επί του παρόντος να εκτιμηθεί, λόγω του υψηλού βαθμού αβεβαιότητας που προκύπτει από την αδυναμία πρόβλεψης της τελικής κατάληξης, αλλά και λόγω  των δευτερογενών επιπτώσεών της που αναφέρονται παραπάνω. Σε κάθε περίπτωση όμως, η Διοίκηση του Ομίλου παρακολουθεί συνεχώς τις σχετικές εξελίξεις και αξιολογεί τυχόν πιθανές περαιτέρω επιπτώσεις στη λειτουργία, την οικονομική θέση και τα αποτελέσματα του Ομίλου, ευρισκόμενη σε κατάσταση αυξημένης εγρήγορσης για τη λήψη κατάλληλων προληπτικών μέτρων για τη διαφύλαξη της ρευστότητας και των επιχειρηματικών δραστηριοτήτων του Ομίλου.</w:t>
      </w:r>
    </w:p>
    <w:p w14:paraId="67E22F99" w14:textId="77777777" w:rsidR="001D014F" w:rsidRDefault="001D014F" w:rsidP="00D91B19">
      <w:pPr>
        <w:jc w:val="both"/>
        <w:rPr>
          <w:rFonts w:ascii="Ping LCG Regular" w:hAnsi="Ping LCG Regular" w:cs="Arial"/>
          <w:b/>
          <w:bCs/>
          <w:spacing w:val="-14"/>
          <w:lang w:val="el-GR"/>
        </w:rPr>
      </w:pPr>
    </w:p>
    <w:p w14:paraId="672C392B" w14:textId="77777777" w:rsidR="001D014F" w:rsidRDefault="001D014F" w:rsidP="00D91B19">
      <w:pPr>
        <w:jc w:val="both"/>
        <w:rPr>
          <w:rFonts w:ascii="Ping LCG Regular" w:hAnsi="Ping LCG Regular" w:cs="Arial"/>
          <w:b/>
          <w:bCs/>
          <w:spacing w:val="-14"/>
          <w:lang w:val="el-GR"/>
        </w:rPr>
      </w:pPr>
    </w:p>
    <w:p w14:paraId="2DB59FB8" w14:textId="77777777" w:rsidR="00740667" w:rsidRPr="002801AA" w:rsidRDefault="00740667" w:rsidP="00740667">
      <w:pPr>
        <w:jc w:val="both"/>
        <w:rPr>
          <w:rFonts w:ascii="Ping LCG Regular" w:hAnsi="Ping LCG Regular"/>
          <w:highlight w:val="yellow"/>
          <w:lang w:val="el-GR"/>
        </w:rPr>
      </w:pPr>
    </w:p>
    <w:bookmarkEnd w:id="1"/>
    <w:p w14:paraId="0DBA1EE8" w14:textId="6410ABD7" w:rsidR="00555B95" w:rsidRPr="00B26EE8" w:rsidRDefault="00E31DA3" w:rsidP="00A52F74">
      <w:pPr>
        <w:rPr>
          <w:rFonts w:ascii="Ping LCG Regular" w:hAnsi="Ping LCG Regular"/>
          <w:highlight w:val="yellow"/>
          <w:lang w:val="el-GR"/>
        </w:rPr>
      </w:pPr>
      <w:r w:rsidRPr="00B26EE8">
        <w:rPr>
          <w:rFonts w:ascii="Ping LCG Regular" w:hAnsi="Ping LCG Regular"/>
          <w:b/>
          <w:bCs/>
          <w:highlight w:val="yellow"/>
          <w:lang w:val="el-GR"/>
        </w:rPr>
        <w:br w:type="page"/>
      </w:r>
    </w:p>
    <w:p w14:paraId="5DC04EA0" w14:textId="2F98671C" w:rsidR="00D66777" w:rsidRPr="00E14B07" w:rsidRDefault="00D66777" w:rsidP="00D66777">
      <w:pPr>
        <w:jc w:val="both"/>
        <w:rPr>
          <w:rFonts w:ascii="Ping LCG Regular" w:hAnsi="Ping LCG Regular"/>
          <w:b/>
          <w:bCs/>
          <w:lang w:val="el-GR"/>
        </w:rPr>
      </w:pPr>
      <w:r w:rsidRPr="00E14B07">
        <w:rPr>
          <w:rFonts w:ascii="Ping LCG Regular" w:hAnsi="Ping LCG Regular"/>
          <w:b/>
          <w:bCs/>
          <w:lang w:val="el-GR"/>
        </w:rPr>
        <w:lastRenderedPageBreak/>
        <w:t xml:space="preserve">Σχολιάζοντας τα οικονομικά αποτελέσματα, ο Πρόεδρος και Διευθύνων Σύμβουλος της ΔΕΗ Α.Ε. κ. Γεώργιος Στάσσης δήλωσε: </w:t>
      </w:r>
    </w:p>
    <w:p w14:paraId="04B85F56" w14:textId="77777777" w:rsidR="00D66777" w:rsidRPr="00E14B07" w:rsidRDefault="00D66777" w:rsidP="00D66777">
      <w:pPr>
        <w:jc w:val="both"/>
        <w:rPr>
          <w:rFonts w:ascii="Ping LCG Regular" w:hAnsi="Ping LCG Regular"/>
          <w:b/>
          <w:bCs/>
          <w:lang w:val="el-GR"/>
        </w:rPr>
      </w:pPr>
    </w:p>
    <w:p w14:paraId="5EAC624D" w14:textId="77777777" w:rsidR="0045307E" w:rsidRDefault="0045307E" w:rsidP="0045307E">
      <w:pPr>
        <w:jc w:val="both"/>
        <w:rPr>
          <w:rFonts w:ascii="Ping LCG Regular" w:hAnsi="Ping LCG Regular" w:cs="Calibri"/>
          <w:lang w:val="el-GR"/>
        </w:rPr>
      </w:pPr>
      <w:r>
        <w:rPr>
          <w:rFonts w:ascii="Ping LCG Regular" w:hAnsi="Ping LCG Regular"/>
          <w:lang w:val="el-GR"/>
        </w:rPr>
        <w:t xml:space="preserve">«Το 2021 ήταν μια χρονιά σημαντικών οροσήμων για τη ΔΕΗ. Επανήλθαμε στις αγορές κεφαλαίου για πρώτη φορά μετά το 2014, προχωρήσαμε στην έναρξη της δραστηριότητάς μας στην ηλεκτροκίνηση με τη ΔΕΗ Blue, συμφωνήσαμε την πώληση του 49% της συμμετοχής της ΔΕΗ στο ΔΕΔΔΗΕ, προχωρήσαμε στην επιτυχή αύξηση του Μετοχικού Κεφαλαίου της Εταιρείας, λάβαμε μια ακόμα αναβάθμιση πιστοληπτικής ικανότητας από την S&amp;P, ενώ επίσης σημειώσαμε περαιτέρω πρόοδο στις πρακτικές Εταιρικής Διακυβέρνησης. </w:t>
      </w:r>
    </w:p>
    <w:p w14:paraId="16441B7C" w14:textId="77777777" w:rsidR="0045307E" w:rsidRDefault="0045307E" w:rsidP="0045307E">
      <w:pPr>
        <w:jc w:val="both"/>
        <w:rPr>
          <w:rFonts w:ascii="Ping LCG Regular" w:hAnsi="Ping LCG Regular"/>
          <w:sz w:val="22"/>
          <w:szCs w:val="22"/>
          <w:lang w:val="el-GR"/>
        </w:rPr>
      </w:pPr>
    </w:p>
    <w:p w14:paraId="4DDF3305" w14:textId="77777777" w:rsidR="0045307E" w:rsidRDefault="0045307E" w:rsidP="0045307E">
      <w:pPr>
        <w:jc w:val="both"/>
        <w:rPr>
          <w:rFonts w:ascii="Ping LCG Regular" w:hAnsi="Ping LCG Regular"/>
          <w:b/>
          <w:bCs/>
          <w:lang w:val="el-GR"/>
        </w:rPr>
      </w:pPr>
      <w:r>
        <w:rPr>
          <w:rFonts w:ascii="Ping LCG Regular" w:hAnsi="Ping LCG Regular"/>
          <w:b/>
          <w:bCs/>
          <w:lang w:val="el-GR"/>
        </w:rPr>
        <w:t>Η πρόσφατη γεωπολιτική κρίση, έφερε την Ευρώπη και την χώρα μας σε μία πρωτόγνωρη ενεργειακή κρίση, που όμοιά της δεν έχει παρουσιασθεί τις τελευταίες δεκαετίες. Η ΔΕΗ, από την μία οφείλει να συνεχίζει τις απαραίτητες επενδύσεις σε ΑΠΕ και δίκτυα που θα βοηθήσουν την ενεργειακή μετάβαση της χώρας, και από την άλλη οφείλει να στηρίζει τους πελάτες, στο μέτρο των δυνατοτήτων της, αξιοποιώντας την καθετοποιημένη της θέση.</w:t>
      </w:r>
    </w:p>
    <w:p w14:paraId="06B531E5" w14:textId="77777777" w:rsidR="0045307E" w:rsidRDefault="0045307E" w:rsidP="0045307E">
      <w:pPr>
        <w:jc w:val="both"/>
        <w:rPr>
          <w:rFonts w:ascii="Ping LCG Regular" w:hAnsi="Ping LCG Regular"/>
          <w:sz w:val="22"/>
          <w:szCs w:val="22"/>
          <w:lang w:val="el-GR"/>
        </w:rPr>
      </w:pPr>
    </w:p>
    <w:p w14:paraId="7047C0F5" w14:textId="77777777" w:rsidR="0045307E" w:rsidRDefault="0045307E" w:rsidP="0045307E">
      <w:pPr>
        <w:jc w:val="both"/>
        <w:rPr>
          <w:rFonts w:ascii="Ping LCG Regular" w:hAnsi="Ping LCG Regular"/>
          <w:lang w:val="el-GR"/>
        </w:rPr>
      </w:pPr>
      <w:r>
        <w:rPr>
          <w:rFonts w:ascii="Ping LCG Regular" w:hAnsi="Ping LCG Regular"/>
          <w:lang w:val="el-GR"/>
        </w:rPr>
        <w:t xml:space="preserve">Παρά τη μεταβλητότητα στις αγορές εμπορευμάτων κατά το 2021, καταφέραμε να καταγράψουμε ανθεκτικές επιδόσεις λόγω της καθετοποίησης των δραστηριοτήτων μας καθώς και τη διενέργεια </w:t>
      </w:r>
      <w:proofErr w:type="spellStart"/>
      <w:r>
        <w:rPr>
          <w:rFonts w:ascii="Ping LCG Regular" w:hAnsi="Ping LCG Regular"/>
          <w:lang w:val="el-GR"/>
        </w:rPr>
        <w:t>hedging</w:t>
      </w:r>
      <w:proofErr w:type="spellEnd"/>
      <w:r>
        <w:rPr>
          <w:rFonts w:ascii="Ping LCG Regular" w:hAnsi="Ping LCG Regular"/>
          <w:lang w:val="el-GR"/>
        </w:rPr>
        <w:t xml:space="preserve">. Σταθεροποιήσαμε την λειτουργική μας κερδοφορία με την επίτευξη EBITDA σε επαναλαμβανόμενη βάση σύμφωνα με το στόχο που είχαμε θέσει. Ταυτόχρονα, ως ο μεγαλύτερος προμηθευτής ηλεκτρικής ενέργειας στη χώρα, καταφέραμε να υποστηρίξουμε τους πελάτες μας απορροφώντας, στο μέτρο των δυνατοτήτων μας, ένα σημαντικό μέρος των αυξήσεων των τιμών που οφείλονται στην συνεχιζόμενη παγκόσμια ενεργειακή κρίση. </w:t>
      </w:r>
    </w:p>
    <w:p w14:paraId="0BC25BA3" w14:textId="77777777" w:rsidR="0045307E" w:rsidRDefault="0045307E" w:rsidP="0045307E">
      <w:pPr>
        <w:jc w:val="both"/>
        <w:rPr>
          <w:rFonts w:ascii="Ping LCG Regular" w:hAnsi="Ping LCG Regular"/>
          <w:lang w:val="el-GR"/>
        </w:rPr>
      </w:pPr>
    </w:p>
    <w:p w14:paraId="3A422D98" w14:textId="77777777" w:rsidR="0045307E" w:rsidRDefault="0045307E" w:rsidP="0045307E">
      <w:pPr>
        <w:jc w:val="both"/>
        <w:rPr>
          <w:rFonts w:ascii="Ping LCG Regular" w:hAnsi="Ping LCG Regular"/>
          <w:b/>
          <w:bCs/>
          <w:lang w:val="el-GR"/>
        </w:rPr>
      </w:pPr>
      <w:r>
        <w:rPr>
          <w:rFonts w:ascii="Ping LCG Regular" w:hAnsi="Ping LCG Regular"/>
          <w:b/>
          <w:bCs/>
          <w:lang w:val="el-GR"/>
        </w:rPr>
        <w:t xml:space="preserve">Ταυτόχρονα, συνεχίζουμε την πρόοδο στο Επιχειρηματικό μας Σχέδιο, με ιδιαίτερη έμφαση τις ΑΠΕ, και την στήριξη των πελατών μας. Η τρέχουσα ενεργειακή κρίση καταδεικνύει την αναγκαιότητα υλοποίησης έργων Ανανεώσιμων Πηγών Ενέργειας το συντομότερο δυνατόν, προκειμένου η χώρα να </w:t>
      </w:r>
      <w:proofErr w:type="spellStart"/>
      <w:r>
        <w:rPr>
          <w:rFonts w:ascii="Ping LCG Regular" w:hAnsi="Ping LCG Regular"/>
          <w:b/>
          <w:bCs/>
          <w:lang w:val="el-GR"/>
        </w:rPr>
        <w:t>απεξαρτηθεί</w:t>
      </w:r>
      <w:proofErr w:type="spellEnd"/>
      <w:r>
        <w:rPr>
          <w:rFonts w:ascii="Ping LCG Regular" w:hAnsi="Ping LCG Regular"/>
          <w:b/>
          <w:bCs/>
          <w:lang w:val="el-GR"/>
        </w:rPr>
        <w:t xml:space="preserve"> γρηγορότερα από τα ορυκτά καύσιμα και τις εισαγόμενες κρίσεις. </w:t>
      </w:r>
    </w:p>
    <w:p w14:paraId="17DBEE99" w14:textId="77777777" w:rsidR="0045307E" w:rsidRDefault="0045307E" w:rsidP="0045307E">
      <w:pPr>
        <w:jc w:val="both"/>
        <w:rPr>
          <w:rFonts w:ascii="Ping LCG Regular" w:hAnsi="Ping LCG Regular"/>
          <w:lang w:val="el-GR"/>
        </w:rPr>
      </w:pPr>
    </w:p>
    <w:p w14:paraId="6B5D16E8" w14:textId="77777777" w:rsidR="0045307E" w:rsidRDefault="0045307E" w:rsidP="0045307E">
      <w:pPr>
        <w:jc w:val="both"/>
        <w:rPr>
          <w:rFonts w:ascii="Ping LCG Regular" w:hAnsi="Ping LCG Regular"/>
          <w:lang w:val="el-GR"/>
        </w:rPr>
      </w:pPr>
      <w:r>
        <w:rPr>
          <w:rFonts w:ascii="Ping LCG Regular" w:hAnsi="Ping LCG Regular"/>
          <w:lang w:val="el-GR"/>
        </w:rPr>
        <w:t>Για το 2022, και  παρά το γεγονός ότι το εξωτερικό περιβάλλον παραμένει ευμετάβλητο, στόχος μας είναι να συνεχίσουμε τις επενδύσεις σε ΑΠΕ και δίκτυα στηρίζοντας παράλληλα τους πελάτες μας, διατηρώντας τον στόχο του επιχειρηματικού μας πλάνου για επίτευξη EBITDA σε επαναλαμβανόμενη βάση στα ίδια επίπεδα με το 2021.»</w:t>
      </w:r>
    </w:p>
    <w:p w14:paraId="6D44AC61" w14:textId="77777777" w:rsidR="0045307E" w:rsidRDefault="0045307E" w:rsidP="0045307E">
      <w:pPr>
        <w:jc w:val="both"/>
        <w:rPr>
          <w:rFonts w:ascii="Ping LCG Regular" w:hAnsi="Ping LCG Regular"/>
          <w:lang w:val="el-GR"/>
        </w:rPr>
      </w:pPr>
    </w:p>
    <w:p w14:paraId="7E95E6DE" w14:textId="77777777" w:rsidR="0045307E" w:rsidRDefault="0045307E" w:rsidP="0045307E">
      <w:pPr>
        <w:jc w:val="both"/>
        <w:rPr>
          <w:rFonts w:ascii="Ping LCG Regular" w:hAnsi="Ping LCG Regular"/>
          <w:lang w:val="el-GR"/>
        </w:rPr>
      </w:pPr>
    </w:p>
    <w:p w14:paraId="57C6C690" w14:textId="77777777" w:rsidR="0045307E" w:rsidRDefault="0045307E" w:rsidP="0045307E">
      <w:pPr>
        <w:jc w:val="both"/>
        <w:rPr>
          <w:rFonts w:ascii="Ping LCG Regular" w:hAnsi="Ping LCG Regular"/>
          <w:lang w:val="el-GR"/>
        </w:rPr>
      </w:pPr>
    </w:p>
    <w:p w14:paraId="5BBD54DA" w14:textId="77777777" w:rsidR="00A52F74" w:rsidRPr="00B26EE8" w:rsidRDefault="00A52F74" w:rsidP="003A19E2">
      <w:pPr>
        <w:jc w:val="both"/>
        <w:rPr>
          <w:rFonts w:ascii="Ping LCG Regular" w:hAnsi="Ping LCG Regular"/>
          <w:highlight w:val="yellow"/>
          <w:lang w:val="el-GR"/>
        </w:rPr>
      </w:pPr>
    </w:p>
    <w:p w14:paraId="59F3132D" w14:textId="77777777" w:rsidR="00B26EE8" w:rsidRDefault="00B26EE8">
      <w:pPr>
        <w:rPr>
          <w:rFonts w:ascii="Ping LCG Regular" w:hAnsi="Ping LCG Regular" w:cs="Arial"/>
          <w:b/>
          <w:bCs/>
          <w:color w:val="000000"/>
          <w:highlight w:val="yellow"/>
          <w:lang w:val="el-GR"/>
        </w:rPr>
      </w:pPr>
      <w:r>
        <w:rPr>
          <w:rFonts w:ascii="Ping LCG Regular" w:hAnsi="Ping LCG Regular" w:cs="Arial"/>
          <w:b/>
          <w:bCs/>
          <w:color w:val="000000"/>
          <w:highlight w:val="yellow"/>
          <w:lang w:val="el-GR"/>
        </w:rPr>
        <w:br w:type="page"/>
      </w:r>
    </w:p>
    <w:p w14:paraId="57B72E60" w14:textId="77777777" w:rsidR="00A249A6" w:rsidRPr="00B667D8" w:rsidRDefault="00A249A6" w:rsidP="00CD3233">
      <w:pPr>
        <w:autoSpaceDE w:val="0"/>
        <w:autoSpaceDN w:val="0"/>
        <w:adjustRightInd w:val="0"/>
        <w:rPr>
          <w:rFonts w:ascii="Ping LCG Regular" w:hAnsi="Ping LCG Regular" w:cs="Arial"/>
          <w:b/>
          <w:bCs/>
          <w:color w:val="000000"/>
          <w:lang w:val="el-GR"/>
        </w:rPr>
      </w:pPr>
      <w:r w:rsidRPr="00B667D8">
        <w:rPr>
          <w:rFonts w:ascii="Ping LCG Regular" w:hAnsi="Ping LCG Regular" w:cs="Arial"/>
          <w:b/>
          <w:bCs/>
          <w:color w:val="000000"/>
          <w:lang w:val="el-GR"/>
        </w:rPr>
        <w:lastRenderedPageBreak/>
        <w:t>Ανάλυση Εσόδων &amp; Λειτουργικών δαπανών Ομίλου ΔΕΗ</w:t>
      </w:r>
    </w:p>
    <w:p w14:paraId="297AF7E3" w14:textId="77777777" w:rsidR="00A249A6" w:rsidRPr="00B667D8" w:rsidRDefault="00A249A6" w:rsidP="00A249A6">
      <w:pPr>
        <w:widowControl w:val="0"/>
        <w:autoSpaceDE w:val="0"/>
        <w:autoSpaceDN w:val="0"/>
        <w:adjustRightInd w:val="0"/>
        <w:ind w:right="20"/>
        <w:jc w:val="both"/>
        <w:rPr>
          <w:rFonts w:ascii="Ping LCG Regular" w:hAnsi="Ping LCG Regular" w:cs="Arial"/>
          <w:b/>
          <w:spacing w:val="-14"/>
          <w:sz w:val="26"/>
          <w:szCs w:val="26"/>
          <w:u w:val="single"/>
          <w:lang w:val="el-GR"/>
        </w:rPr>
      </w:pPr>
    </w:p>
    <w:p w14:paraId="426DC15A" w14:textId="77777777" w:rsidR="00851841" w:rsidRPr="00B667D8" w:rsidRDefault="00851841" w:rsidP="00A469D4">
      <w:pPr>
        <w:jc w:val="both"/>
        <w:rPr>
          <w:rFonts w:ascii="Ping LCG Regular" w:hAnsi="Ping LCG Regular" w:cs="Arial"/>
          <w:b/>
          <w:bCs/>
          <w:spacing w:val="-14"/>
          <w:lang w:val="el-GR"/>
        </w:rPr>
      </w:pPr>
      <w:bookmarkStart w:id="2" w:name="_Hlk69205105"/>
    </w:p>
    <w:p w14:paraId="6D847F3A" w14:textId="0B471E9A" w:rsidR="00A249A6" w:rsidRPr="00547328" w:rsidRDefault="00A249A6" w:rsidP="00A469D4">
      <w:pPr>
        <w:jc w:val="both"/>
        <w:rPr>
          <w:rFonts w:ascii="Ping LCG Regular" w:hAnsi="Ping LCG Regular" w:cs="Arial"/>
          <w:b/>
          <w:bCs/>
          <w:spacing w:val="-14"/>
          <w:lang w:val="el-GR"/>
        </w:rPr>
      </w:pPr>
      <w:r w:rsidRPr="00547328">
        <w:rPr>
          <w:rFonts w:ascii="Ping LCG Regular" w:hAnsi="Ping LCG Regular" w:cs="Arial"/>
          <w:b/>
          <w:bCs/>
          <w:spacing w:val="-14"/>
          <w:lang w:val="el-GR"/>
        </w:rPr>
        <w:t>Έσοδα</w:t>
      </w:r>
    </w:p>
    <w:p w14:paraId="0F11C404" w14:textId="77777777" w:rsidR="00A249A6" w:rsidRPr="00547328" w:rsidRDefault="00A249A6" w:rsidP="00A249A6">
      <w:pPr>
        <w:widowControl w:val="0"/>
        <w:autoSpaceDE w:val="0"/>
        <w:autoSpaceDN w:val="0"/>
        <w:adjustRightInd w:val="0"/>
        <w:ind w:right="20"/>
        <w:jc w:val="both"/>
        <w:rPr>
          <w:rFonts w:ascii="Ping LCG Regular" w:hAnsi="Ping LCG Regular" w:cs="Arial"/>
          <w:spacing w:val="-14"/>
          <w:lang w:val="el-GR"/>
        </w:rPr>
      </w:pPr>
    </w:p>
    <w:p w14:paraId="7D030B79" w14:textId="6C533D05" w:rsidR="007F675C" w:rsidRDefault="00A249A6" w:rsidP="007F675C">
      <w:pPr>
        <w:jc w:val="both"/>
        <w:rPr>
          <w:rFonts w:ascii="Ping LCG Regular" w:hAnsi="Ping LCG Regular" w:cs="Arial"/>
          <w:spacing w:val="-14"/>
          <w:lang w:val="el-GR"/>
        </w:rPr>
      </w:pPr>
      <w:r w:rsidRPr="00547328">
        <w:rPr>
          <w:rFonts w:ascii="Ping LCG Regular" w:hAnsi="Ping LCG Regular" w:cs="Arial"/>
          <w:spacing w:val="-14"/>
          <w:lang w:val="el-GR"/>
        </w:rPr>
        <w:t xml:space="preserve">Ο κύκλος εργασιών, </w:t>
      </w:r>
      <w:r w:rsidR="00DD5F68" w:rsidRPr="00547328">
        <w:rPr>
          <w:rFonts w:ascii="Ping LCG Regular" w:hAnsi="Ping LCG Regular" w:cs="Arial"/>
          <w:spacing w:val="-14"/>
          <w:lang w:val="el-GR"/>
        </w:rPr>
        <w:t>αυξήθηκε</w:t>
      </w:r>
      <w:r w:rsidRPr="00547328">
        <w:rPr>
          <w:rFonts w:ascii="Ping LCG Regular" w:hAnsi="Ping LCG Regular" w:cs="Arial"/>
          <w:spacing w:val="-14"/>
          <w:lang w:val="el-GR"/>
        </w:rPr>
        <w:t xml:space="preserve"> το</w:t>
      </w:r>
      <w:r w:rsidR="00BF7FC6" w:rsidRPr="00547328">
        <w:rPr>
          <w:rFonts w:ascii="Ping LCG Regular" w:hAnsi="Ping LCG Regular" w:cs="Arial"/>
          <w:spacing w:val="-14"/>
          <w:lang w:val="el-GR"/>
        </w:rPr>
        <w:t xml:space="preserve"> </w:t>
      </w:r>
      <w:r w:rsidRPr="00547328">
        <w:rPr>
          <w:rFonts w:ascii="Ping LCG Regular" w:hAnsi="Ping LCG Regular" w:cs="Arial"/>
          <w:spacing w:val="-14"/>
          <w:lang w:val="el-GR"/>
        </w:rPr>
        <w:t>202</w:t>
      </w:r>
      <w:r w:rsidR="0032552F" w:rsidRPr="00547328">
        <w:rPr>
          <w:rFonts w:ascii="Ping LCG Regular" w:hAnsi="Ping LCG Regular" w:cs="Arial"/>
          <w:spacing w:val="-14"/>
          <w:lang w:val="el-GR"/>
        </w:rPr>
        <w:t xml:space="preserve">1 </w:t>
      </w:r>
      <w:r w:rsidRPr="00547328">
        <w:rPr>
          <w:rFonts w:ascii="Ping LCG Regular" w:hAnsi="Ping LCG Regular" w:cs="Arial"/>
          <w:spacing w:val="-14"/>
          <w:lang w:val="el-GR"/>
        </w:rPr>
        <w:t>κατά €</w:t>
      </w:r>
      <w:r w:rsidR="001516D6" w:rsidRPr="00547328">
        <w:rPr>
          <w:rFonts w:ascii="Ping LCG Regular" w:hAnsi="Ping LCG Regular" w:cs="Arial"/>
          <w:spacing w:val="-14"/>
          <w:lang w:val="el-GR"/>
        </w:rPr>
        <w:t>1</w:t>
      </w:r>
      <w:r w:rsidR="00B97A9A" w:rsidRPr="00547328">
        <w:rPr>
          <w:rFonts w:ascii="Ping LCG Regular" w:hAnsi="Ping LCG Regular" w:cs="Arial"/>
          <w:spacing w:val="-14"/>
          <w:lang w:val="el-GR"/>
        </w:rPr>
        <w:t>.0</w:t>
      </w:r>
      <w:r w:rsidR="00843878">
        <w:rPr>
          <w:rFonts w:ascii="Ping LCG Regular" w:hAnsi="Ping LCG Regular" w:cs="Arial"/>
          <w:spacing w:val="-14"/>
          <w:lang w:val="el-GR"/>
        </w:rPr>
        <w:t>57</w:t>
      </w:r>
      <w:r w:rsidR="00B97A9A" w:rsidRPr="00547328">
        <w:rPr>
          <w:rFonts w:ascii="Ping LCG Regular" w:hAnsi="Ping LCG Regular" w:cs="Arial"/>
          <w:spacing w:val="-14"/>
          <w:lang w:val="el-GR"/>
        </w:rPr>
        <w:t>,</w:t>
      </w:r>
      <w:r w:rsidR="00843878">
        <w:rPr>
          <w:rFonts w:ascii="Ping LCG Regular" w:hAnsi="Ping LCG Regular" w:cs="Arial"/>
          <w:spacing w:val="-14"/>
          <w:lang w:val="el-GR"/>
        </w:rPr>
        <w:t>3</w:t>
      </w:r>
      <w:r w:rsidRPr="00547328">
        <w:rPr>
          <w:rFonts w:ascii="Ping LCG Regular" w:hAnsi="Ping LCG Regular" w:cs="Arial"/>
          <w:spacing w:val="-14"/>
          <w:lang w:val="el-GR"/>
        </w:rPr>
        <w:t xml:space="preserve"> εκατ. ή </w:t>
      </w:r>
      <w:r w:rsidR="00B97A9A" w:rsidRPr="00547328">
        <w:rPr>
          <w:rFonts w:ascii="Ping LCG Regular" w:hAnsi="Ping LCG Regular" w:cs="Arial"/>
          <w:spacing w:val="-14"/>
          <w:lang w:val="el-GR"/>
        </w:rPr>
        <w:t>2</w:t>
      </w:r>
      <w:r w:rsidR="00843878">
        <w:rPr>
          <w:rFonts w:ascii="Ping LCG Regular" w:hAnsi="Ping LCG Regular" w:cs="Arial"/>
          <w:spacing w:val="-14"/>
          <w:lang w:val="el-GR"/>
        </w:rPr>
        <w:t>2,7</w:t>
      </w:r>
      <w:r w:rsidRPr="00547328">
        <w:rPr>
          <w:rFonts w:ascii="Ping LCG Regular" w:hAnsi="Ping LCG Regular" w:cs="Arial"/>
          <w:spacing w:val="-14"/>
          <w:lang w:val="el-GR"/>
        </w:rPr>
        <w:t>%</w:t>
      </w:r>
      <w:r w:rsidR="001B0ECE" w:rsidRPr="00547328">
        <w:rPr>
          <w:rFonts w:ascii="Ping LCG Regular" w:hAnsi="Ping LCG Regular" w:cs="Arial"/>
          <w:spacing w:val="-14"/>
          <w:lang w:val="el-GR"/>
        </w:rPr>
        <w:t xml:space="preserve"> </w:t>
      </w:r>
      <w:r w:rsidR="001D014F">
        <w:rPr>
          <w:rFonts w:ascii="Ping LCG Regular" w:hAnsi="Ping LCG Regular" w:cs="Arial"/>
          <w:spacing w:val="-14"/>
          <w:lang w:val="el-GR"/>
        </w:rPr>
        <w:t xml:space="preserve">κυρίως </w:t>
      </w:r>
      <w:r w:rsidR="001B0ECE" w:rsidRPr="00547328">
        <w:rPr>
          <w:rFonts w:ascii="Ping LCG Regular" w:hAnsi="Ping LCG Regular" w:cs="Arial"/>
          <w:spacing w:val="-14"/>
          <w:lang w:val="el-GR"/>
        </w:rPr>
        <w:t xml:space="preserve">λόγω </w:t>
      </w:r>
      <w:r w:rsidR="00B97A9A" w:rsidRPr="00547328">
        <w:rPr>
          <w:rFonts w:ascii="Ping LCG Regular" w:hAnsi="Ping LCG Regular" w:cs="Arial"/>
          <w:spacing w:val="-14"/>
          <w:lang w:val="el-GR"/>
        </w:rPr>
        <w:t xml:space="preserve">της αύξησης του μέσου εσόδου </w:t>
      </w:r>
      <w:r w:rsidR="001D014F">
        <w:rPr>
          <w:rFonts w:ascii="Ping LCG Regular" w:hAnsi="Ping LCG Regular" w:cs="Arial"/>
          <w:spacing w:val="-14"/>
          <w:lang w:val="el-GR"/>
        </w:rPr>
        <w:t xml:space="preserve">καθώς </w:t>
      </w:r>
      <w:r w:rsidR="00B97A9A" w:rsidRPr="00547328">
        <w:rPr>
          <w:rFonts w:ascii="Ping LCG Regular" w:hAnsi="Ping LCG Regular" w:cs="Arial"/>
          <w:spacing w:val="-14"/>
          <w:lang w:val="el-GR"/>
        </w:rPr>
        <w:t xml:space="preserve">η </w:t>
      </w:r>
      <w:r w:rsidR="001B0ECE" w:rsidRPr="00547328">
        <w:rPr>
          <w:rFonts w:ascii="Ping LCG Regular" w:hAnsi="Ping LCG Regular" w:cs="Arial"/>
          <w:spacing w:val="-14"/>
          <w:lang w:val="el-GR"/>
        </w:rPr>
        <w:t xml:space="preserve">αύξηση της εγχώριας ζήτησης κατά </w:t>
      </w:r>
      <w:r w:rsidR="00B97A9A" w:rsidRPr="00547328">
        <w:rPr>
          <w:rFonts w:ascii="Ping LCG Regular" w:hAnsi="Ping LCG Regular" w:cs="Arial"/>
          <w:spacing w:val="-14"/>
          <w:lang w:val="el-GR"/>
        </w:rPr>
        <w:t>4,1%</w:t>
      </w:r>
      <w:r w:rsidR="001D014F">
        <w:rPr>
          <w:rFonts w:ascii="Ping LCG Regular" w:hAnsi="Ping LCG Regular" w:cs="Arial"/>
          <w:spacing w:val="-14"/>
          <w:lang w:val="el-GR"/>
        </w:rPr>
        <w:t xml:space="preserve"> αντισταθμίστηκε ουσιαστικά από τη</w:t>
      </w:r>
      <w:r w:rsidR="001B0ECE" w:rsidRPr="00547328">
        <w:rPr>
          <w:rFonts w:ascii="Ping LCG Regular" w:hAnsi="Ping LCG Regular" w:cs="Arial"/>
          <w:spacing w:val="-14"/>
          <w:lang w:val="el-GR"/>
        </w:rPr>
        <w:t xml:space="preserve"> μείωση του μεριδίου αγοράς κατά </w:t>
      </w:r>
      <w:r w:rsidR="00B97A9A" w:rsidRPr="00547328">
        <w:rPr>
          <w:rFonts w:ascii="Ping LCG Regular" w:hAnsi="Ping LCG Regular" w:cs="Arial"/>
          <w:spacing w:val="-14"/>
          <w:lang w:val="el-GR"/>
        </w:rPr>
        <w:t>4</w:t>
      </w:r>
      <w:r w:rsidR="001B0ECE" w:rsidRPr="00547328">
        <w:rPr>
          <w:rFonts w:ascii="Ping LCG Regular" w:hAnsi="Ping LCG Regular" w:cs="Arial"/>
          <w:spacing w:val="-14"/>
          <w:lang w:val="el-GR"/>
        </w:rPr>
        <w:t>,</w:t>
      </w:r>
      <w:r w:rsidR="00B97A9A" w:rsidRPr="00547328">
        <w:rPr>
          <w:rFonts w:ascii="Ping LCG Regular" w:hAnsi="Ping LCG Regular" w:cs="Arial"/>
          <w:spacing w:val="-14"/>
          <w:lang w:val="el-GR"/>
        </w:rPr>
        <w:t>4</w:t>
      </w:r>
      <w:r w:rsidR="001B0ECE" w:rsidRPr="00547328">
        <w:rPr>
          <w:rFonts w:ascii="Ping LCG Regular" w:hAnsi="Ping LCG Regular" w:cs="Arial"/>
          <w:spacing w:val="-14"/>
          <w:lang w:val="el-GR"/>
        </w:rPr>
        <w:t xml:space="preserve"> </w:t>
      </w:r>
      <w:r w:rsidR="00055140" w:rsidRPr="00547328">
        <w:rPr>
          <w:rFonts w:ascii="Ping LCG Regular" w:hAnsi="Ping LCG Regular" w:cs="Arial"/>
          <w:spacing w:val="-14"/>
          <w:lang w:val="el-GR"/>
        </w:rPr>
        <w:t>ποσοστιαίες μονάδες</w:t>
      </w:r>
      <w:r w:rsidR="00B667D8" w:rsidRPr="00547328">
        <w:rPr>
          <w:rFonts w:ascii="Ping LCG Regular" w:hAnsi="Ping LCG Regular" w:cs="Arial"/>
          <w:spacing w:val="-14"/>
          <w:lang w:val="el-GR"/>
        </w:rPr>
        <w:t>.</w:t>
      </w:r>
      <w:r w:rsidR="00204B2B" w:rsidRPr="00547328">
        <w:rPr>
          <w:rFonts w:ascii="Ping LCG Regular" w:hAnsi="Ping LCG Regular" w:cs="Arial"/>
          <w:spacing w:val="-14"/>
          <w:lang w:val="el-GR"/>
        </w:rPr>
        <w:t xml:space="preserve"> Ειδικότερα το </w:t>
      </w:r>
      <w:r w:rsidR="00B97A9A" w:rsidRPr="00547328">
        <w:rPr>
          <w:rFonts w:ascii="Ping LCG Regular" w:hAnsi="Ping LCG Regular" w:cs="Arial"/>
          <w:spacing w:val="-14"/>
          <w:lang w:val="el-GR"/>
        </w:rPr>
        <w:t>δ</w:t>
      </w:r>
      <w:r w:rsidR="00204B2B" w:rsidRPr="00547328">
        <w:rPr>
          <w:rFonts w:ascii="Ping LCG Regular" w:hAnsi="Ping LCG Regular" w:cs="Arial"/>
          <w:spacing w:val="-14"/>
          <w:lang w:val="el-GR"/>
        </w:rPr>
        <w:t>’ τρίμηνο 2021</w:t>
      </w:r>
      <w:r w:rsidR="00667226" w:rsidRPr="00547328">
        <w:rPr>
          <w:rFonts w:ascii="Ping LCG Regular" w:hAnsi="Ping LCG Regular" w:cs="Arial"/>
          <w:spacing w:val="-14"/>
          <w:lang w:val="el-GR"/>
        </w:rPr>
        <w:t>,</w:t>
      </w:r>
      <w:r w:rsidR="00204B2B" w:rsidRPr="00547328">
        <w:rPr>
          <w:rFonts w:ascii="Ping LCG Regular" w:hAnsi="Ping LCG Regular" w:cs="Arial"/>
          <w:spacing w:val="-14"/>
          <w:lang w:val="el-GR"/>
        </w:rPr>
        <w:t xml:space="preserve"> ο κύκλος εργασιών ανήλθε σε €</w:t>
      </w:r>
      <w:r w:rsidR="00B97A9A" w:rsidRPr="00547328">
        <w:rPr>
          <w:rFonts w:ascii="Ping LCG Regular" w:hAnsi="Ping LCG Regular" w:cs="Arial"/>
          <w:spacing w:val="-14"/>
          <w:lang w:val="el-GR"/>
        </w:rPr>
        <w:t>2</w:t>
      </w:r>
      <w:r w:rsidR="00204B2B" w:rsidRPr="00547328">
        <w:rPr>
          <w:rFonts w:ascii="Ping LCG Regular" w:hAnsi="Ping LCG Regular" w:cs="Arial"/>
          <w:spacing w:val="-14"/>
          <w:lang w:val="el-GR"/>
        </w:rPr>
        <w:t>.</w:t>
      </w:r>
      <w:r w:rsidR="00B97A9A" w:rsidRPr="00547328">
        <w:rPr>
          <w:rFonts w:ascii="Ping LCG Regular" w:hAnsi="Ping LCG Regular" w:cs="Arial"/>
          <w:spacing w:val="-14"/>
          <w:lang w:val="el-GR"/>
        </w:rPr>
        <w:t>0</w:t>
      </w:r>
      <w:r w:rsidR="00101D3E">
        <w:rPr>
          <w:rFonts w:ascii="Ping LCG Regular" w:hAnsi="Ping LCG Regular" w:cs="Arial"/>
          <w:spacing w:val="-14"/>
          <w:lang w:val="el-GR"/>
        </w:rPr>
        <w:t>09</w:t>
      </w:r>
      <w:r w:rsidR="00B97A9A" w:rsidRPr="00547328">
        <w:rPr>
          <w:rFonts w:ascii="Ping LCG Regular" w:hAnsi="Ping LCG Regular" w:cs="Arial"/>
          <w:spacing w:val="-14"/>
          <w:lang w:val="el-GR"/>
        </w:rPr>
        <w:t>,</w:t>
      </w:r>
      <w:r w:rsidR="00101D3E">
        <w:rPr>
          <w:rFonts w:ascii="Ping LCG Regular" w:hAnsi="Ping LCG Regular" w:cs="Arial"/>
          <w:spacing w:val="-14"/>
          <w:lang w:val="el-GR"/>
        </w:rPr>
        <w:t>1</w:t>
      </w:r>
      <w:r w:rsidR="00204B2B" w:rsidRPr="00547328">
        <w:rPr>
          <w:rFonts w:ascii="Ping LCG Regular" w:hAnsi="Ping LCG Regular" w:cs="Arial"/>
          <w:spacing w:val="-14"/>
          <w:lang w:val="el-GR"/>
        </w:rPr>
        <w:t xml:space="preserve"> εκατ. αυξημένος κατά </w:t>
      </w:r>
      <w:r w:rsidR="00547328" w:rsidRPr="00547328">
        <w:rPr>
          <w:rFonts w:ascii="Ping LCG Regular" w:hAnsi="Ping LCG Regular" w:cs="Arial"/>
          <w:spacing w:val="-14"/>
          <w:lang w:val="el-GR"/>
        </w:rPr>
        <w:t>7</w:t>
      </w:r>
      <w:r w:rsidR="00101D3E">
        <w:rPr>
          <w:rFonts w:ascii="Ping LCG Regular" w:hAnsi="Ping LCG Regular" w:cs="Arial"/>
          <w:spacing w:val="-14"/>
          <w:lang w:val="el-GR"/>
        </w:rPr>
        <w:t>7</w:t>
      </w:r>
      <w:r w:rsidR="0000478F" w:rsidRPr="00547328">
        <w:rPr>
          <w:rFonts w:ascii="Ping LCG Regular" w:hAnsi="Ping LCG Regular" w:cs="Arial"/>
          <w:spacing w:val="-14"/>
          <w:lang w:val="el-GR"/>
        </w:rPr>
        <w:t>,</w:t>
      </w:r>
      <w:r w:rsidR="00101D3E">
        <w:rPr>
          <w:rFonts w:ascii="Ping LCG Regular" w:hAnsi="Ping LCG Regular" w:cs="Arial"/>
          <w:spacing w:val="-14"/>
          <w:lang w:val="el-GR"/>
        </w:rPr>
        <w:t>9</w:t>
      </w:r>
      <w:r w:rsidR="00204B2B" w:rsidRPr="00547328">
        <w:rPr>
          <w:rFonts w:ascii="Ping LCG Regular" w:hAnsi="Ping LCG Regular" w:cs="Arial"/>
          <w:spacing w:val="-14"/>
          <w:lang w:val="el-GR"/>
        </w:rPr>
        <w:t>%</w:t>
      </w:r>
      <w:r w:rsidR="000A6431">
        <w:rPr>
          <w:rFonts w:ascii="Ping LCG Regular" w:hAnsi="Ping LCG Regular" w:cs="Arial"/>
          <w:spacing w:val="-14"/>
          <w:lang w:val="el-GR"/>
        </w:rPr>
        <w:t xml:space="preserve">, </w:t>
      </w:r>
      <w:r w:rsidR="00204B2B" w:rsidRPr="00547328">
        <w:rPr>
          <w:rFonts w:ascii="Ping LCG Regular" w:hAnsi="Ping LCG Regular" w:cs="Arial"/>
          <w:spacing w:val="-14"/>
          <w:lang w:val="el-GR"/>
        </w:rPr>
        <w:t xml:space="preserve">σε σχέση με το </w:t>
      </w:r>
      <w:r w:rsidR="00547328" w:rsidRPr="00547328">
        <w:rPr>
          <w:rFonts w:ascii="Ping LCG Regular" w:hAnsi="Ping LCG Regular" w:cs="Arial"/>
          <w:spacing w:val="-14"/>
          <w:lang w:val="el-GR"/>
        </w:rPr>
        <w:t>δ</w:t>
      </w:r>
      <w:r w:rsidR="00204B2B" w:rsidRPr="00547328">
        <w:rPr>
          <w:rFonts w:ascii="Ping LCG Regular" w:hAnsi="Ping LCG Regular" w:cs="Arial"/>
          <w:spacing w:val="-14"/>
          <w:lang w:val="el-GR"/>
        </w:rPr>
        <w:t xml:space="preserve">’ τρίμηνο </w:t>
      </w:r>
      <w:r w:rsidR="00204B2B" w:rsidRPr="00F51543">
        <w:rPr>
          <w:rFonts w:ascii="Ping LCG Regular" w:hAnsi="Ping LCG Regular" w:cs="Arial"/>
          <w:spacing w:val="-14"/>
          <w:lang w:val="el-GR"/>
        </w:rPr>
        <w:t>2020</w:t>
      </w:r>
      <w:r w:rsidR="00AF28B9" w:rsidRPr="00F51543">
        <w:rPr>
          <w:rFonts w:ascii="Ping LCG Regular" w:hAnsi="Ping LCG Regular" w:cs="Arial"/>
          <w:spacing w:val="-14"/>
          <w:lang w:val="el-GR"/>
        </w:rPr>
        <w:t xml:space="preserve"> </w:t>
      </w:r>
      <w:r w:rsidR="00F51543" w:rsidRPr="00F51543">
        <w:rPr>
          <w:rFonts w:ascii="Ping LCG Regular" w:hAnsi="Ping LCG Regular" w:cs="Arial"/>
          <w:spacing w:val="-14"/>
          <w:lang w:val="el-GR"/>
        </w:rPr>
        <w:t xml:space="preserve">ως </w:t>
      </w:r>
      <w:r w:rsidR="000A6431" w:rsidRPr="00F51543">
        <w:rPr>
          <w:rFonts w:ascii="Ping LCG Regular" w:hAnsi="Ping LCG Regular" w:cs="Arial"/>
          <w:spacing w:val="-14"/>
          <w:lang w:val="el-GR"/>
        </w:rPr>
        <w:t>αποτέλεσμα της σημαντικής αύξησης του μέσου εσόδου</w:t>
      </w:r>
      <w:r w:rsidR="0029411E">
        <w:rPr>
          <w:rFonts w:ascii="Ping LCG Regular" w:hAnsi="Ping LCG Regular" w:cs="Arial"/>
          <w:spacing w:val="-14"/>
          <w:lang w:val="el-GR"/>
        </w:rPr>
        <w:t>, με την αύξηση της</w:t>
      </w:r>
      <w:r w:rsidR="000A6431" w:rsidRPr="00F51543">
        <w:rPr>
          <w:rFonts w:ascii="Ping LCG Regular" w:hAnsi="Ping LCG Regular" w:cs="Arial"/>
          <w:spacing w:val="-14"/>
          <w:lang w:val="el-GR"/>
        </w:rPr>
        <w:t xml:space="preserve"> ε</w:t>
      </w:r>
      <w:r w:rsidR="004903E8" w:rsidRPr="00F51543">
        <w:rPr>
          <w:rFonts w:ascii="Ping LCG Regular" w:hAnsi="Ping LCG Regular" w:cs="Arial"/>
          <w:spacing w:val="-14"/>
          <w:lang w:val="el-GR"/>
        </w:rPr>
        <w:t>γχώρια</w:t>
      </w:r>
      <w:r w:rsidR="0029411E">
        <w:rPr>
          <w:rFonts w:ascii="Ping LCG Regular" w:hAnsi="Ping LCG Regular" w:cs="Arial"/>
          <w:spacing w:val="-14"/>
          <w:lang w:val="el-GR"/>
        </w:rPr>
        <w:t>ς</w:t>
      </w:r>
      <w:r w:rsidR="004903E8" w:rsidRPr="00F51543">
        <w:rPr>
          <w:rFonts w:ascii="Ping LCG Regular" w:hAnsi="Ping LCG Regular" w:cs="Arial"/>
          <w:spacing w:val="-14"/>
          <w:lang w:val="el-GR"/>
        </w:rPr>
        <w:t xml:space="preserve"> ζήτηση</w:t>
      </w:r>
      <w:r w:rsidR="0029411E">
        <w:rPr>
          <w:rFonts w:ascii="Ping LCG Regular" w:hAnsi="Ping LCG Regular" w:cs="Arial"/>
          <w:spacing w:val="-14"/>
          <w:lang w:val="el-GR"/>
        </w:rPr>
        <w:t>ς</w:t>
      </w:r>
      <w:r w:rsidR="004903E8" w:rsidRPr="00F51543">
        <w:rPr>
          <w:rFonts w:ascii="Ping LCG Regular" w:hAnsi="Ping LCG Regular" w:cs="Arial"/>
          <w:spacing w:val="-14"/>
          <w:lang w:val="el-GR"/>
        </w:rPr>
        <w:t xml:space="preserve"> </w:t>
      </w:r>
      <w:r w:rsidR="0029411E">
        <w:rPr>
          <w:rFonts w:ascii="Ping LCG Regular" w:hAnsi="Ping LCG Regular" w:cs="Arial"/>
          <w:spacing w:val="-14"/>
          <w:lang w:val="el-GR"/>
        </w:rPr>
        <w:t xml:space="preserve">να διαμορφώνεται σε </w:t>
      </w:r>
      <w:r w:rsidR="004903E8" w:rsidRPr="00547328">
        <w:rPr>
          <w:rFonts w:ascii="Ping LCG Regular" w:hAnsi="Ping LCG Regular" w:cs="Arial"/>
          <w:spacing w:val="-14"/>
          <w:lang w:val="el-GR"/>
        </w:rPr>
        <w:t>7</w:t>
      </w:r>
      <w:r w:rsidR="00FA05F2" w:rsidRPr="00547328">
        <w:rPr>
          <w:rFonts w:ascii="Ping LCG Regular" w:hAnsi="Ping LCG Regular" w:cs="Arial"/>
          <w:spacing w:val="-14"/>
          <w:lang w:val="el-GR"/>
        </w:rPr>
        <w:t>,</w:t>
      </w:r>
      <w:r w:rsidR="00547328" w:rsidRPr="00547328">
        <w:rPr>
          <w:rFonts w:ascii="Ping LCG Regular" w:hAnsi="Ping LCG Regular" w:cs="Arial"/>
          <w:spacing w:val="-14"/>
          <w:lang w:val="el-GR"/>
        </w:rPr>
        <w:t>4</w:t>
      </w:r>
      <w:r w:rsidR="004903E8" w:rsidRPr="00547328">
        <w:rPr>
          <w:rFonts w:ascii="Ping LCG Regular" w:hAnsi="Ping LCG Regular" w:cs="Arial"/>
          <w:spacing w:val="-14"/>
          <w:lang w:val="el-GR"/>
        </w:rPr>
        <w:t>%</w:t>
      </w:r>
      <w:r w:rsidR="00204B2B" w:rsidRPr="00547328">
        <w:rPr>
          <w:rFonts w:ascii="Ping LCG Regular" w:hAnsi="Ping LCG Regular" w:cs="Arial"/>
          <w:spacing w:val="-14"/>
          <w:lang w:val="el-GR"/>
        </w:rPr>
        <w:t>.</w:t>
      </w:r>
      <w:r w:rsidR="007F675C" w:rsidRPr="00C158D9">
        <w:rPr>
          <w:rFonts w:ascii="Ping LCG Regular" w:hAnsi="Ping LCG Regular" w:cs="Arial"/>
          <w:spacing w:val="-14"/>
          <w:lang w:val="el-GR"/>
        </w:rPr>
        <w:t xml:space="preserve"> </w:t>
      </w:r>
    </w:p>
    <w:p w14:paraId="149F87FE" w14:textId="4730C4C9" w:rsidR="00F7256B" w:rsidRPr="00B667D8" w:rsidRDefault="00F7256B" w:rsidP="00A249A6">
      <w:pPr>
        <w:widowControl w:val="0"/>
        <w:autoSpaceDE w:val="0"/>
        <w:autoSpaceDN w:val="0"/>
        <w:adjustRightInd w:val="0"/>
        <w:ind w:right="20"/>
        <w:jc w:val="both"/>
        <w:rPr>
          <w:rFonts w:ascii="Ping LCG Regular" w:hAnsi="Ping LCG Regular" w:cs="Arial"/>
          <w:spacing w:val="-14"/>
          <w:lang w:val="el-GR"/>
        </w:rPr>
      </w:pPr>
    </w:p>
    <w:bookmarkEnd w:id="2"/>
    <w:p w14:paraId="3E4CD72E" w14:textId="77777777" w:rsidR="00A249A6" w:rsidRPr="00B667D8" w:rsidRDefault="00A249A6" w:rsidP="00A249A6">
      <w:pPr>
        <w:widowControl w:val="0"/>
        <w:autoSpaceDE w:val="0"/>
        <w:autoSpaceDN w:val="0"/>
        <w:adjustRightInd w:val="0"/>
        <w:ind w:right="18"/>
        <w:rPr>
          <w:rFonts w:ascii="Ping LCG Regular" w:hAnsi="Ping LCG Regular" w:cs="Arial"/>
          <w:b/>
          <w:spacing w:val="-14"/>
          <w:sz w:val="26"/>
          <w:szCs w:val="26"/>
          <w:u w:val="single"/>
          <w:lang w:val="el-GR"/>
        </w:rPr>
      </w:pPr>
    </w:p>
    <w:p w14:paraId="24E7D9DA" w14:textId="77777777" w:rsidR="00A249A6" w:rsidRPr="00DD32CC" w:rsidRDefault="00A249A6" w:rsidP="00A249A6">
      <w:pPr>
        <w:widowControl w:val="0"/>
        <w:autoSpaceDE w:val="0"/>
        <w:autoSpaceDN w:val="0"/>
        <w:adjustRightInd w:val="0"/>
        <w:ind w:right="20"/>
        <w:jc w:val="both"/>
        <w:rPr>
          <w:rFonts w:ascii="Ping LCG Regular" w:hAnsi="Ping LCG Regular" w:cs="Arial"/>
          <w:b/>
          <w:spacing w:val="-14"/>
          <w:szCs w:val="26"/>
          <w:lang w:val="el-GR"/>
        </w:rPr>
      </w:pPr>
      <w:r w:rsidRPr="00DD32CC">
        <w:rPr>
          <w:rFonts w:ascii="Ping LCG Regular" w:hAnsi="Ping LCG Regular" w:cs="Arial"/>
          <w:b/>
          <w:spacing w:val="-14"/>
          <w:szCs w:val="26"/>
          <w:lang w:val="el-GR"/>
        </w:rPr>
        <w:t xml:space="preserve">Λειτουργικές Δαπάνες </w:t>
      </w:r>
    </w:p>
    <w:p w14:paraId="6D9D4760" w14:textId="77777777" w:rsidR="00A249A6" w:rsidRPr="00DD32CC" w:rsidRDefault="00A249A6" w:rsidP="00A249A6">
      <w:pPr>
        <w:widowControl w:val="0"/>
        <w:autoSpaceDE w:val="0"/>
        <w:autoSpaceDN w:val="0"/>
        <w:adjustRightInd w:val="0"/>
        <w:ind w:right="20"/>
        <w:jc w:val="both"/>
        <w:rPr>
          <w:rFonts w:ascii="Ping LCG Regular" w:hAnsi="Ping LCG Regular" w:cs="Arial"/>
          <w:spacing w:val="-14"/>
          <w:lang w:val="el-GR"/>
        </w:rPr>
      </w:pPr>
    </w:p>
    <w:p w14:paraId="06795E0F" w14:textId="1471B75C" w:rsidR="00A249A6" w:rsidRPr="007D0E22" w:rsidRDefault="00A249A6" w:rsidP="006C2EBB">
      <w:pPr>
        <w:ind w:firstLine="11"/>
        <w:jc w:val="both"/>
        <w:rPr>
          <w:rFonts w:ascii="Ping LCG Regular" w:hAnsi="Ping LCG Regular" w:cs="Arial"/>
          <w:spacing w:val="-14"/>
          <w:lang w:val="el-GR"/>
        </w:rPr>
      </w:pPr>
      <w:r w:rsidRPr="00DD32CC">
        <w:rPr>
          <w:rFonts w:ascii="Ping LCG Regular" w:hAnsi="Ping LCG Regular" w:cs="Arial"/>
          <w:spacing w:val="-14"/>
          <w:lang w:val="el-GR"/>
        </w:rPr>
        <w:t xml:space="preserve">Οι προ αποσβέσεων λειτουργικές δαπάνες το </w:t>
      </w:r>
      <w:r w:rsidR="00984692" w:rsidRPr="00DD32CC">
        <w:rPr>
          <w:rFonts w:ascii="Ping LCG Regular" w:hAnsi="Ping LCG Regular" w:cs="Arial"/>
          <w:spacing w:val="-14"/>
          <w:szCs w:val="26"/>
          <w:lang w:val="el-GR"/>
        </w:rPr>
        <w:t>2021</w:t>
      </w:r>
      <w:r w:rsidRPr="00DD32CC">
        <w:rPr>
          <w:rFonts w:ascii="Ping LCG Regular" w:hAnsi="Ping LCG Regular" w:cs="Arial"/>
          <w:spacing w:val="-14"/>
          <w:lang w:val="el-GR"/>
        </w:rPr>
        <w:t xml:space="preserve">, </w:t>
      </w:r>
      <w:r w:rsidR="00B667D8" w:rsidRPr="00DD32CC">
        <w:rPr>
          <w:rFonts w:ascii="Ping LCG Regular" w:hAnsi="Ping LCG Regular" w:cs="Arial"/>
          <w:spacing w:val="-14"/>
          <w:lang w:val="el-GR"/>
        </w:rPr>
        <w:t xml:space="preserve">αυξήθηκαν </w:t>
      </w:r>
      <w:r w:rsidRPr="00DD32CC">
        <w:rPr>
          <w:rFonts w:ascii="Ping LCG Regular" w:hAnsi="Ping LCG Regular" w:cs="Arial"/>
          <w:spacing w:val="-14"/>
          <w:lang w:val="el-GR"/>
        </w:rPr>
        <w:t>κατά €</w:t>
      </w:r>
      <w:r w:rsidR="00E04E8F" w:rsidRPr="00DD32CC">
        <w:rPr>
          <w:rFonts w:ascii="Ping LCG Regular" w:hAnsi="Ping LCG Regular" w:cs="Arial"/>
          <w:spacing w:val="-14"/>
          <w:lang w:val="el-GR"/>
        </w:rPr>
        <w:t>1.</w:t>
      </w:r>
      <w:r w:rsidR="00101D3E">
        <w:rPr>
          <w:rFonts w:ascii="Ping LCG Regular" w:hAnsi="Ping LCG Regular" w:cs="Arial"/>
          <w:spacing w:val="-14"/>
          <w:lang w:val="el-GR"/>
        </w:rPr>
        <w:t>0</w:t>
      </w:r>
      <w:r w:rsidR="00746463" w:rsidRPr="00445582">
        <w:rPr>
          <w:rFonts w:ascii="Ping LCG Regular" w:hAnsi="Ping LCG Regular" w:cs="Arial"/>
          <w:spacing w:val="-14"/>
          <w:lang w:val="el-GR"/>
        </w:rPr>
        <w:t>50</w:t>
      </w:r>
      <w:r w:rsidR="00101D3E">
        <w:rPr>
          <w:rFonts w:ascii="Ping LCG Regular" w:hAnsi="Ping LCG Regular" w:cs="Arial"/>
          <w:spacing w:val="-14"/>
          <w:lang w:val="el-GR"/>
        </w:rPr>
        <w:t>,</w:t>
      </w:r>
      <w:r w:rsidR="00746463" w:rsidRPr="00445582">
        <w:rPr>
          <w:rFonts w:ascii="Ping LCG Regular" w:hAnsi="Ping LCG Regular" w:cs="Arial"/>
          <w:spacing w:val="-14"/>
          <w:lang w:val="el-GR"/>
        </w:rPr>
        <w:t>7</w:t>
      </w:r>
      <w:r w:rsidRPr="00DD32CC">
        <w:rPr>
          <w:rFonts w:ascii="Ping LCG Regular" w:hAnsi="Ping LCG Regular" w:cs="Arial"/>
          <w:spacing w:val="-14"/>
          <w:lang w:val="el-GR"/>
        </w:rPr>
        <w:t xml:space="preserve"> εκατ. (ή κατά </w:t>
      </w:r>
      <w:r w:rsidR="00E04E8F" w:rsidRPr="00DD32CC">
        <w:rPr>
          <w:rFonts w:ascii="Ping LCG Regular" w:hAnsi="Ping LCG Regular" w:cs="Arial"/>
          <w:spacing w:val="-14"/>
          <w:lang w:val="el-GR"/>
        </w:rPr>
        <w:t>2</w:t>
      </w:r>
      <w:r w:rsidR="00746463" w:rsidRPr="00445582">
        <w:rPr>
          <w:rFonts w:ascii="Ping LCG Regular" w:hAnsi="Ping LCG Regular" w:cs="Arial"/>
          <w:spacing w:val="-14"/>
          <w:lang w:val="el-GR"/>
        </w:rPr>
        <w:t>7</w:t>
      </w:r>
      <w:r w:rsidR="00E04E8F" w:rsidRPr="00DD32CC">
        <w:rPr>
          <w:rFonts w:ascii="Ping LCG Regular" w:hAnsi="Ping LCG Regular" w:cs="Arial"/>
          <w:spacing w:val="-14"/>
          <w:lang w:val="el-GR"/>
        </w:rPr>
        <w:t>,</w:t>
      </w:r>
      <w:r w:rsidR="00746463" w:rsidRPr="00445582">
        <w:rPr>
          <w:rFonts w:ascii="Ping LCG Regular" w:hAnsi="Ping LCG Regular" w:cs="Arial"/>
          <w:spacing w:val="-14"/>
          <w:lang w:val="el-GR"/>
        </w:rPr>
        <w:t>8</w:t>
      </w:r>
      <w:r w:rsidRPr="00DD32CC">
        <w:rPr>
          <w:rFonts w:ascii="Ping LCG Regular" w:hAnsi="Ping LCG Regular" w:cs="Arial"/>
          <w:spacing w:val="-14"/>
          <w:lang w:val="el-GR"/>
        </w:rPr>
        <w:t>%) σε €</w:t>
      </w:r>
      <w:r w:rsidR="00DD32CC" w:rsidRPr="00DD32CC">
        <w:rPr>
          <w:rFonts w:ascii="Ping LCG Regular" w:hAnsi="Ping LCG Regular" w:cs="Arial"/>
          <w:spacing w:val="-14"/>
          <w:lang w:val="el-GR"/>
        </w:rPr>
        <w:t>4.8</w:t>
      </w:r>
      <w:r w:rsidR="00101D3E">
        <w:rPr>
          <w:rFonts w:ascii="Ping LCG Regular" w:hAnsi="Ping LCG Regular" w:cs="Arial"/>
          <w:spacing w:val="-14"/>
          <w:lang w:val="el-GR"/>
        </w:rPr>
        <w:t>34</w:t>
      </w:r>
      <w:r w:rsidR="00DD32CC" w:rsidRPr="00DD32CC">
        <w:rPr>
          <w:rFonts w:ascii="Ping LCG Regular" w:hAnsi="Ping LCG Regular" w:cs="Arial"/>
          <w:spacing w:val="-14"/>
          <w:lang w:val="el-GR"/>
        </w:rPr>
        <w:t>,</w:t>
      </w:r>
      <w:r w:rsidR="00101D3E">
        <w:rPr>
          <w:rFonts w:ascii="Ping LCG Regular" w:hAnsi="Ping LCG Regular" w:cs="Arial"/>
          <w:spacing w:val="-14"/>
          <w:lang w:val="el-GR"/>
        </w:rPr>
        <w:t>9</w:t>
      </w:r>
      <w:r w:rsidR="00065351" w:rsidRPr="00DD32CC">
        <w:rPr>
          <w:rFonts w:ascii="Ping LCG Regular" w:hAnsi="Ping LCG Regular" w:cs="Arial"/>
          <w:spacing w:val="-14"/>
          <w:lang w:val="el-GR"/>
        </w:rPr>
        <w:t xml:space="preserve"> </w:t>
      </w:r>
      <w:r w:rsidRPr="00DD32CC">
        <w:rPr>
          <w:rFonts w:ascii="Ping LCG Regular" w:hAnsi="Ping LCG Regular" w:cs="Arial"/>
          <w:spacing w:val="-14"/>
          <w:lang w:val="el-GR"/>
        </w:rPr>
        <w:t>εκατ. έναντι €</w:t>
      </w:r>
      <w:r w:rsidR="00DD32CC" w:rsidRPr="00DD32CC">
        <w:rPr>
          <w:rFonts w:ascii="Ping LCG Regular" w:hAnsi="Ping LCG Regular" w:cs="Arial"/>
          <w:spacing w:val="-14"/>
          <w:lang w:val="el-GR"/>
        </w:rPr>
        <w:t>3</w:t>
      </w:r>
      <w:r w:rsidRPr="00DD32CC">
        <w:rPr>
          <w:rFonts w:ascii="Ping LCG Regular" w:hAnsi="Ping LCG Regular" w:cs="Arial"/>
          <w:spacing w:val="-14"/>
          <w:lang w:val="el-GR"/>
        </w:rPr>
        <w:t>.</w:t>
      </w:r>
      <w:r w:rsidR="00DD32CC" w:rsidRPr="00DD32CC">
        <w:rPr>
          <w:rFonts w:ascii="Ping LCG Regular" w:hAnsi="Ping LCG Regular" w:cs="Arial"/>
          <w:spacing w:val="-14"/>
          <w:lang w:val="el-GR"/>
        </w:rPr>
        <w:t>7</w:t>
      </w:r>
      <w:r w:rsidR="00746463" w:rsidRPr="00445582">
        <w:rPr>
          <w:rFonts w:ascii="Ping LCG Regular" w:hAnsi="Ping LCG Regular" w:cs="Arial"/>
          <w:spacing w:val="-14"/>
          <w:lang w:val="el-GR"/>
        </w:rPr>
        <w:t>84</w:t>
      </w:r>
      <w:r w:rsidR="00DD32CC" w:rsidRPr="00DD32CC">
        <w:rPr>
          <w:rFonts w:ascii="Ping LCG Regular" w:hAnsi="Ping LCG Regular" w:cs="Arial"/>
          <w:spacing w:val="-14"/>
          <w:lang w:val="el-GR"/>
        </w:rPr>
        <w:t>,</w:t>
      </w:r>
      <w:r w:rsidR="00746463" w:rsidRPr="00445582">
        <w:rPr>
          <w:rFonts w:ascii="Ping LCG Regular" w:hAnsi="Ping LCG Regular" w:cs="Arial"/>
          <w:spacing w:val="-14"/>
          <w:lang w:val="el-GR"/>
        </w:rPr>
        <w:t>2</w:t>
      </w:r>
      <w:r w:rsidRPr="00DD32CC">
        <w:rPr>
          <w:rFonts w:ascii="Ping LCG Regular" w:hAnsi="Ping LCG Regular" w:cs="Arial"/>
          <w:spacing w:val="-14"/>
          <w:lang w:val="el-GR"/>
        </w:rPr>
        <w:t xml:space="preserve"> εκατ. το </w:t>
      </w:r>
      <w:r w:rsidR="00984692" w:rsidRPr="00DD32CC">
        <w:rPr>
          <w:rFonts w:ascii="Ping LCG Regular" w:hAnsi="Ping LCG Regular" w:cs="Arial"/>
          <w:spacing w:val="-14"/>
          <w:szCs w:val="26"/>
          <w:lang w:val="el-GR"/>
        </w:rPr>
        <w:t>2020</w:t>
      </w:r>
      <w:r w:rsidRPr="00DD32CC">
        <w:rPr>
          <w:rFonts w:ascii="Ping LCG Regular" w:hAnsi="Ping LCG Regular" w:cs="Arial"/>
          <w:spacing w:val="-14"/>
          <w:lang w:val="el-GR"/>
        </w:rPr>
        <w:t xml:space="preserve">, </w:t>
      </w:r>
      <w:r w:rsidR="00DD21AB" w:rsidRPr="00DD32CC">
        <w:rPr>
          <w:rFonts w:ascii="Ping LCG Regular" w:hAnsi="Ping LCG Regular" w:cs="Arial"/>
          <w:spacing w:val="-14"/>
          <w:lang w:val="el-GR"/>
        </w:rPr>
        <w:t xml:space="preserve">κυρίως </w:t>
      </w:r>
      <w:r w:rsidRPr="00DD32CC">
        <w:rPr>
          <w:rFonts w:ascii="Ping LCG Regular" w:hAnsi="Ping LCG Regular" w:cs="Arial"/>
          <w:spacing w:val="-14"/>
          <w:lang w:val="el-GR"/>
        </w:rPr>
        <w:t xml:space="preserve">ως </w:t>
      </w:r>
      <w:r w:rsidR="007A11DA" w:rsidRPr="00DD32CC">
        <w:rPr>
          <w:rFonts w:ascii="Ping LCG Regular" w:hAnsi="Ping LCG Regular" w:cs="Arial"/>
          <w:spacing w:val="-14"/>
          <w:lang w:val="el-GR"/>
        </w:rPr>
        <w:t xml:space="preserve">αποτέλεσμα </w:t>
      </w:r>
      <w:r w:rsidR="003577C9" w:rsidRPr="00DD32CC">
        <w:rPr>
          <w:rFonts w:ascii="Ping LCG Regular" w:hAnsi="Ping LCG Regular" w:cs="Arial"/>
          <w:spacing w:val="-14"/>
          <w:lang w:val="el-GR"/>
        </w:rPr>
        <w:t>τ</w:t>
      </w:r>
      <w:r w:rsidR="00B667D8" w:rsidRPr="00DD32CC">
        <w:rPr>
          <w:rFonts w:ascii="Ping LCG Regular" w:hAnsi="Ping LCG Regular" w:cs="Arial"/>
          <w:spacing w:val="-14"/>
          <w:lang w:val="el-GR"/>
        </w:rPr>
        <w:t xml:space="preserve">ων </w:t>
      </w:r>
      <w:r w:rsidR="00BB0835" w:rsidRPr="00DD32CC">
        <w:rPr>
          <w:rFonts w:ascii="Ping LCG Regular" w:hAnsi="Ping LCG Regular" w:cs="Arial"/>
          <w:spacing w:val="-14"/>
          <w:lang w:val="el-GR"/>
        </w:rPr>
        <w:t xml:space="preserve">ιδιαίτερα </w:t>
      </w:r>
      <w:r w:rsidR="00B667D8" w:rsidRPr="00DD32CC">
        <w:rPr>
          <w:rFonts w:ascii="Ping LCG Regular" w:hAnsi="Ping LCG Regular" w:cs="Arial"/>
          <w:spacing w:val="-14"/>
          <w:lang w:val="el-GR"/>
        </w:rPr>
        <w:t>αυξημένων δαπανών για αγορά καυσίμων</w:t>
      </w:r>
      <w:r w:rsidR="00D836E2" w:rsidRPr="00DD32CC">
        <w:rPr>
          <w:rFonts w:ascii="Ping LCG Regular" w:hAnsi="Ping LCG Regular" w:cs="Arial"/>
          <w:spacing w:val="-14"/>
          <w:lang w:val="el-GR"/>
        </w:rPr>
        <w:t xml:space="preserve"> </w:t>
      </w:r>
      <w:r w:rsidR="00DD32CC" w:rsidRPr="00DD32CC">
        <w:rPr>
          <w:rFonts w:ascii="Ping LCG Regular" w:hAnsi="Ping LCG Regular" w:cs="Arial"/>
          <w:spacing w:val="-14"/>
          <w:lang w:val="el-GR"/>
        </w:rPr>
        <w:t>και</w:t>
      </w:r>
      <w:r w:rsidRPr="00DD32CC">
        <w:rPr>
          <w:rFonts w:ascii="Ping LCG Regular" w:hAnsi="Ping LCG Regular" w:cs="Arial"/>
          <w:spacing w:val="-14"/>
          <w:lang w:val="el-GR"/>
        </w:rPr>
        <w:t xml:space="preserve"> ενέργειας</w:t>
      </w:r>
      <w:r w:rsidR="00DD32CC" w:rsidRPr="00DD32CC">
        <w:rPr>
          <w:rFonts w:ascii="Ping LCG Regular" w:hAnsi="Ping LCG Regular" w:cs="Arial"/>
          <w:spacing w:val="-14"/>
          <w:lang w:val="el-GR"/>
        </w:rPr>
        <w:t xml:space="preserve"> οι οποίες μετριάστηκαν από </w:t>
      </w:r>
      <w:r w:rsidR="00AD0E8E" w:rsidRPr="00DD32CC">
        <w:rPr>
          <w:rFonts w:ascii="Ping LCG Regular" w:hAnsi="Ping LCG Regular" w:cs="Arial"/>
          <w:spacing w:val="-14"/>
          <w:lang w:val="el-GR"/>
        </w:rPr>
        <w:t>τη</w:t>
      </w:r>
      <w:r w:rsidR="00D836E2" w:rsidRPr="00DD32CC">
        <w:rPr>
          <w:rFonts w:ascii="Ping LCG Regular" w:hAnsi="Ping LCG Regular" w:cs="Arial"/>
          <w:spacing w:val="-14"/>
          <w:lang w:val="el-GR"/>
        </w:rPr>
        <w:t>ν</w:t>
      </w:r>
      <w:r w:rsidR="00AD0E8E" w:rsidRPr="00DD32CC">
        <w:rPr>
          <w:rFonts w:ascii="Ping LCG Regular" w:hAnsi="Ping LCG Regular" w:cs="Arial"/>
          <w:spacing w:val="-14"/>
          <w:lang w:val="el-GR"/>
        </w:rPr>
        <w:t xml:space="preserve"> αντιστροφή προβλέψεων για επισφαλείς απαιτήσεις</w:t>
      </w:r>
      <w:r w:rsidR="00DD32CC">
        <w:rPr>
          <w:rFonts w:ascii="Ping LCG Regular" w:hAnsi="Ping LCG Regular" w:cs="Arial"/>
          <w:spacing w:val="-14"/>
          <w:lang w:val="el-GR"/>
        </w:rPr>
        <w:t xml:space="preserve">. </w:t>
      </w:r>
      <w:r w:rsidR="001B24AD" w:rsidRPr="00DD32CC">
        <w:rPr>
          <w:rFonts w:ascii="Ping LCG Regular" w:hAnsi="Ping LCG Regular" w:cs="Arial"/>
          <w:spacing w:val="-14"/>
          <w:lang w:val="el-GR"/>
        </w:rPr>
        <w:t xml:space="preserve">Στις προ αποσβέσεων λειτουργικές δαπάνες δεν έχουν συνυπολογισθεί </w:t>
      </w:r>
      <w:r w:rsidR="000E2125" w:rsidRPr="00DD32CC">
        <w:rPr>
          <w:rFonts w:ascii="Ping LCG Regular" w:hAnsi="Ping LCG Regular" w:cs="Arial"/>
          <w:spacing w:val="-14"/>
          <w:lang w:val="el-GR"/>
        </w:rPr>
        <w:t>οι εφάπαξ επιπτώσεις</w:t>
      </w:r>
      <w:r w:rsidR="001B24AD" w:rsidRPr="00DD32CC">
        <w:rPr>
          <w:rFonts w:ascii="Ping LCG Regular" w:hAnsi="Ping LCG Regular" w:cs="Arial"/>
          <w:spacing w:val="-14"/>
          <w:lang w:val="el-GR"/>
        </w:rPr>
        <w:t xml:space="preserve"> </w:t>
      </w:r>
      <w:r w:rsidR="000E2125" w:rsidRPr="00DD32CC">
        <w:rPr>
          <w:rFonts w:ascii="Ping LCG Regular" w:hAnsi="Ping LCG Regular" w:cs="Arial"/>
          <w:spacing w:val="-14"/>
          <w:lang w:val="el-GR"/>
        </w:rPr>
        <w:t xml:space="preserve">από την </w:t>
      </w:r>
      <w:r w:rsidR="005F3323" w:rsidRPr="00DD32CC">
        <w:rPr>
          <w:rFonts w:ascii="Ping LCG Regular" w:hAnsi="Ping LCG Regular" w:cs="Arial"/>
          <w:spacing w:val="-14"/>
          <w:lang w:val="el-GR"/>
        </w:rPr>
        <w:t xml:space="preserve"> </w:t>
      </w:r>
      <w:r w:rsidR="00DD21AB" w:rsidRPr="00DD32CC">
        <w:rPr>
          <w:rFonts w:ascii="Ping LCG Regular" w:hAnsi="Ping LCG Regular" w:cs="Arial"/>
          <w:spacing w:val="-14"/>
          <w:lang w:val="el-GR"/>
        </w:rPr>
        <w:t xml:space="preserve">αναδρομική χρέωση </w:t>
      </w:r>
      <w:r w:rsidR="0030398C" w:rsidRPr="00DD32CC">
        <w:rPr>
          <w:rFonts w:ascii="Ping LCG Regular" w:hAnsi="Ping LCG Regular" w:cs="Arial"/>
          <w:spacing w:val="-14"/>
          <w:lang w:val="el-GR"/>
        </w:rPr>
        <w:t xml:space="preserve">λόγω ανάκτησης </w:t>
      </w:r>
      <w:r w:rsidR="00DD21AB" w:rsidRPr="00DD32CC">
        <w:rPr>
          <w:rFonts w:ascii="Ping LCG Regular" w:hAnsi="Ping LCG Regular" w:cs="Arial"/>
          <w:spacing w:val="-14"/>
          <w:lang w:val="el-GR"/>
        </w:rPr>
        <w:t xml:space="preserve">ειδικών επιδομάτων </w:t>
      </w:r>
      <w:r w:rsidR="0030398C" w:rsidRPr="00DD32CC">
        <w:rPr>
          <w:rFonts w:ascii="Ping LCG Regular" w:hAnsi="Ping LCG Regular" w:cs="Arial"/>
          <w:spacing w:val="-14"/>
          <w:lang w:val="el-GR"/>
        </w:rPr>
        <w:t xml:space="preserve">από την </w:t>
      </w:r>
      <w:r w:rsidR="00DD21AB" w:rsidRPr="00DD32CC">
        <w:rPr>
          <w:rFonts w:ascii="Ping LCG Regular" w:hAnsi="Ping LCG Regular" w:cs="Arial"/>
          <w:spacing w:val="-14"/>
          <w:lang w:val="el-GR"/>
        </w:rPr>
        <w:t>εφαρμογή της ΕΣΣΕ 2021-2024, από την πρόβλεψη για αποζημιώσεις προσωπικού</w:t>
      </w:r>
      <w:r w:rsidR="0029411E">
        <w:rPr>
          <w:rFonts w:ascii="Ping LCG Regular" w:hAnsi="Ping LCG Regular" w:cs="Arial"/>
          <w:spacing w:val="-14"/>
          <w:lang w:val="el-GR"/>
        </w:rPr>
        <w:t xml:space="preserve">, </w:t>
      </w:r>
      <w:r w:rsidR="00DD21AB" w:rsidRPr="00DD32CC">
        <w:rPr>
          <w:rFonts w:ascii="Ping LCG Regular" w:hAnsi="Ping LCG Regular" w:cs="Arial"/>
          <w:spacing w:val="-14"/>
          <w:lang w:val="el-GR"/>
        </w:rPr>
        <w:t xml:space="preserve">από </w:t>
      </w:r>
      <w:r w:rsidR="000057C4" w:rsidRPr="00DD32CC">
        <w:rPr>
          <w:rFonts w:ascii="Ping LCG Regular" w:hAnsi="Ping LCG Regular" w:cs="Arial"/>
          <w:spacing w:val="-14"/>
          <w:lang w:val="el-GR"/>
        </w:rPr>
        <w:t>το πιστωτικό τιμολόγιο για την προμήθεια</w:t>
      </w:r>
      <w:r w:rsidR="001B24AD" w:rsidRPr="00DD32CC">
        <w:rPr>
          <w:rFonts w:ascii="Ping LCG Regular" w:hAnsi="Ping LCG Regular" w:cs="Arial"/>
          <w:spacing w:val="-14"/>
          <w:lang w:val="el-GR"/>
        </w:rPr>
        <w:t xml:space="preserve"> φυσικού αερίου παρελθόντων ετών από την ΔΕΠΑ</w:t>
      </w:r>
      <w:r w:rsidR="0029411E">
        <w:rPr>
          <w:rFonts w:ascii="Ping LCG Regular" w:hAnsi="Ping LCG Regular" w:cs="Arial"/>
          <w:spacing w:val="-14"/>
          <w:lang w:val="el-GR"/>
        </w:rPr>
        <w:t xml:space="preserve"> καθώς και από  </w:t>
      </w:r>
      <w:r w:rsidR="006D08AB" w:rsidRPr="006D08AB">
        <w:rPr>
          <w:rFonts w:ascii="Ping LCG Regular" w:hAnsi="Ping LCG Regular" w:cs="Arial"/>
          <w:spacing w:val="-14"/>
          <w:lang w:val="el-GR"/>
        </w:rPr>
        <w:t xml:space="preserve">την επιβολή έκτακτων εφάπαξ χρεώσεων στο πλαίσιο των μέτρων που </w:t>
      </w:r>
      <w:r w:rsidR="006D08AB" w:rsidRPr="0013151D">
        <w:rPr>
          <w:rFonts w:ascii="Ping LCG Regular" w:hAnsi="Ping LCG Regular" w:cs="Arial"/>
          <w:spacing w:val="-14"/>
          <w:lang w:val="el-GR"/>
        </w:rPr>
        <w:t>έλαβε η Πολιτεία για την κάλυψη του ελλείματος του ΕΛΑΠΕ.</w:t>
      </w:r>
      <w:r w:rsidR="001B24AD" w:rsidRPr="0013151D">
        <w:rPr>
          <w:rFonts w:ascii="Ping LCG Regular" w:hAnsi="Ping LCG Regular" w:cs="Arial"/>
          <w:spacing w:val="-14"/>
          <w:lang w:val="el-GR"/>
        </w:rPr>
        <w:t xml:space="preserve"> </w:t>
      </w:r>
      <w:r w:rsidR="007D0E22" w:rsidRPr="0013151D">
        <w:rPr>
          <w:rFonts w:ascii="Ping LCG Regular" w:hAnsi="Ping LCG Regular" w:cs="Arial"/>
          <w:spacing w:val="-14"/>
          <w:lang w:val="el-GR"/>
        </w:rPr>
        <w:t>Ειδικότερα</w:t>
      </w:r>
      <w:r w:rsidR="00E1334D" w:rsidRPr="0013151D">
        <w:rPr>
          <w:rFonts w:ascii="Ping LCG Regular" w:hAnsi="Ping LCG Regular" w:cs="Arial"/>
          <w:spacing w:val="-14"/>
          <w:lang w:val="el-GR"/>
        </w:rPr>
        <w:t>,</w:t>
      </w:r>
      <w:r w:rsidR="007D0E22" w:rsidRPr="0013151D">
        <w:rPr>
          <w:rFonts w:ascii="Ping LCG Regular" w:hAnsi="Ping LCG Regular" w:cs="Arial"/>
          <w:spacing w:val="-14"/>
          <w:lang w:val="el-GR"/>
        </w:rPr>
        <w:t xml:space="preserve"> στο </w:t>
      </w:r>
      <w:r w:rsidR="00DD32CC" w:rsidRPr="0013151D">
        <w:rPr>
          <w:rFonts w:ascii="Ping LCG Regular" w:hAnsi="Ping LCG Regular" w:cs="Arial"/>
          <w:spacing w:val="-14"/>
          <w:lang w:val="el-GR"/>
        </w:rPr>
        <w:t>δ</w:t>
      </w:r>
      <w:r w:rsidR="00204B2B" w:rsidRPr="0013151D">
        <w:rPr>
          <w:rFonts w:ascii="Ping LCG Regular" w:hAnsi="Ping LCG Regular" w:cs="Arial"/>
          <w:spacing w:val="-14"/>
          <w:lang w:val="el-GR"/>
        </w:rPr>
        <w:t>’ τρίμηνο 2021, οι προ αποσβέσεων</w:t>
      </w:r>
      <w:r w:rsidR="00204B2B" w:rsidRPr="00DD32CC">
        <w:rPr>
          <w:rFonts w:ascii="Ping LCG Regular" w:hAnsi="Ping LCG Regular" w:cs="Arial"/>
          <w:spacing w:val="-14"/>
          <w:lang w:val="el-GR"/>
        </w:rPr>
        <w:t xml:space="preserve"> λειτουργικές δαπάνες (εξαιρώντας τις αντίστοιχες </w:t>
      </w:r>
      <w:r w:rsidR="00F74A63" w:rsidRPr="00DD32CC">
        <w:rPr>
          <w:rFonts w:ascii="Ping LCG Regular" w:hAnsi="Ping LCG Regular" w:cs="Arial"/>
          <w:spacing w:val="-14"/>
          <w:lang w:val="el-GR"/>
        </w:rPr>
        <w:t>ε</w:t>
      </w:r>
      <w:r w:rsidR="00204B2B" w:rsidRPr="00DD32CC">
        <w:rPr>
          <w:rFonts w:ascii="Ping LCG Regular" w:hAnsi="Ping LCG Regular" w:cs="Arial"/>
          <w:spacing w:val="-14"/>
          <w:lang w:val="el-GR"/>
        </w:rPr>
        <w:t>φάπαξ επιπτώσεις</w:t>
      </w:r>
      <w:r w:rsidR="00F74A63" w:rsidRPr="00DD32CC">
        <w:rPr>
          <w:rFonts w:ascii="Ping LCG Regular" w:hAnsi="Ping LCG Regular" w:cs="Arial"/>
          <w:spacing w:val="-14"/>
          <w:lang w:val="el-GR"/>
        </w:rPr>
        <w:t xml:space="preserve">) </w:t>
      </w:r>
      <w:r w:rsidR="007D0E22" w:rsidRPr="00DD32CC">
        <w:rPr>
          <w:rFonts w:ascii="Ping LCG Regular" w:hAnsi="Ping LCG Regular" w:cs="Arial"/>
          <w:spacing w:val="-14"/>
          <w:lang w:val="el-GR"/>
        </w:rPr>
        <w:t>ανήλθαν σε €1.</w:t>
      </w:r>
      <w:r w:rsidR="00DD32CC">
        <w:rPr>
          <w:rFonts w:ascii="Ping LCG Regular" w:hAnsi="Ping LCG Regular" w:cs="Arial"/>
          <w:spacing w:val="-14"/>
          <w:lang w:val="el-GR"/>
        </w:rPr>
        <w:t>7</w:t>
      </w:r>
      <w:r w:rsidR="00101D3E">
        <w:rPr>
          <w:rFonts w:ascii="Ping LCG Regular" w:hAnsi="Ping LCG Regular" w:cs="Arial"/>
          <w:spacing w:val="-14"/>
          <w:lang w:val="el-GR"/>
        </w:rPr>
        <w:t>63</w:t>
      </w:r>
      <w:r w:rsidR="00DD32CC">
        <w:rPr>
          <w:rFonts w:ascii="Ping LCG Regular" w:hAnsi="Ping LCG Regular" w:cs="Arial"/>
          <w:spacing w:val="-14"/>
          <w:lang w:val="el-GR"/>
        </w:rPr>
        <w:t>,</w:t>
      </w:r>
      <w:r w:rsidR="00101D3E">
        <w:rPr>
          <w:rFonts w:ascii="Ping LCG Regular" w:hAnsi="Ping LCG Regular" w:cs="Arial"/>
          <w:spacing w:val="-14"/>
          <w:lang w:val="el-GR"/>
        </w:rPr>
        <w:t>9</w:t>
      </w:r>
      <w:r w:rsidR="007D0E22" w:rsidRPr="00DD32CC">
        <w:rPr>
          <w:rFonts w:ascii="Ping LCG Regular" w:hAnsi="Ping LCG Regular" w:cs="Arial"/>
          <w:spacing w:val="-14"/>
          <w:lang w:val="el-GR"/>
        </w:rPr>
        <w:t xml:space="preserve"> εκατ. αυξημένες κατά </w:t>
      </w:r>
      <w:r w:rsidR="00101D3E">
        <w:rPr>
          <w:rFonts w:ascii="Ping LCG Regular" w:hAnsi="Ping LCG Regular" w:cs="Arial"/>
          <w:spacing w:val="-14"/>
          <w:lang w:val="el-GR"/>
        </w:rPr>
        <w:t>8</w:t>
      </w:r>
      <w:r w:rsidR="0013151D" w:rsidRPr="00445582">
        <w:rPr>
          <w:rFonts w:ascii="Ping LCG Regular" w:hAnsi="Ping LCG Regular" w:cs="Arial"/>
          <w:spacing w:val="-14"/>
          <w:lang w:val="el-GR"/>
        </w:rPr>
        <w:t>3</w:t>
      </w:r>
      <w:r w:rsidR="007D0E22" w:rsidRPr="00DD32CC">
        <w:rPr>
          <w:rFonts w:ascii="Ping LCG Regular" w:hAnsi="Ping LCG Regular" w:cs="Arial"/>
          <w:spacing w:val="-14"/>
          <w:lang w:val="el-GR"/>
        </w:rPr>
        <w:t>,</w:t>
      </w:r>
      <w:r w:rsidR="0013151D" w:rsidRPr="00445582">
        <w:rPr>
          <w:rFonts w:ascii="Ping LCG Regular" w:hAnsi="Ping LCG Regular" w:cs="Arial"/>
          <w:spacing w:val="-14"/>
          <w:lang w:val="el-GR"/>
        </w:rPr>
        <w:t>7</w:t>
      </w:r>
      <w:r w:rsidR="007D0E22" w:rsidRPr="00DD32CC">
        <w:rPr>
          <w:rFonts w:ascii="Ping LCG Regular" w:hAnsi="Ping LCG Regular" w:cs="Arial"/>
          <w:spacing w:val="-14"/>
          <w:lang w:val="el-GR"/>
        </w:rPr>
        <w:t xml:space="preserve">% έναντι του </w:t>
      </w:r>
      <w:r w:rsidR="00DD32CC">
        <w:rPr>
          <w:rFonts w:ascii="Ping LCG Regular" w:hAnsi="Ping LCG Regular" w:cs="Arial"/>
          <w:spacing w:val="-14"/>
          <w:lang w:val="el-GR"/>
        </w:rPr>
        <w:t>δ</w:t>
      </w:r>
      <w:r w:rsidR="007D0E22" w:rsidRPr="00DD32CC">
        <w:rPr>
          <w:rFonts w:ascii="Ping LCG Regular" w:hAnsi="Ping LCG Regular" w:cs="Arial"/>
          <w:spacing w:val="-14"/>
          <w:lang w:val="el-GR"/>
        </w:rPr>
        <w:t>’ τριμήνου 2020</w:t>
      </w:r>
      <w:r w:rsidR="004F7805" w:rsidRPr="00DD32CC">
        <w:rPr>
          <w:rFonts w:ascii="Ping LCG Regular" w:hAnsi="Ping LCG Regular" w:cs="Arial"/>
          <w:spacing w:val="-14"/>
          <w:lang w:val="el-GR"/>
        </w:rPr>
        <w:t xml:space="preserve">, κυρίως λόγω των </w:t>
      </w:r>
      <w:r w:rsidR="00D21DDA" w:rsidRPr="00DD32CC">
        <w:rPr>
          <w:rFonts w:ascii="Ping LCG Regular" w:hAnsi="Ping LCG Regular" w:cs="Arial"/>
          <w:spacing w:val="-14"/>
          <w:lang w:val="el-GR"/>
        </w:rPr>
        <w:t xml:space="preserve">ιδιαίτερα </w:t>
      </w:r>
      <w:r w:rsidR="004F7805" w:rsidRPr="00DD32CC">
        <w:rPr>
          <w:rFonts w:ascii="Ping LCG Regular" w:hAnsi="Ping LCG Regular" w:cs="Arial"/>
          <w:spacing w:val="-14"/>
          <w:lang w:val="el-GR"/>
        </w:rPr>
        <w:t>αυξημένων ενεργ</w:t>
      </w:r>
      <w:r w:rsidR="00D21DDA" w:rsidRPr="00DD32CC">
        <w:rPr>
          <w:rFonts w:ascii="Ping LCG Regular" w:hAnsi="Ping LCG Regular" w:cs="Arial"/>
          <w:spacing w:val="-14"/>
          <w:lang w:val="el-GR"/>
        </w:rPr>
        <w:t>ειακών δαπανών</w:t>
      </w:r>
      <w:r w:rsidR="007D0E22" w:rsidRPr="00DD32CC">
        <w:rPr>
          <w:rFonts w:ascii="Ping LCG Regular" w:hAnsi="Ping LCG Regular" w:cs="Arial"/>
          <w:spacing w:val="-14"/>
          <w:lang w:val="el-GR"/>
        </w:rPr>
        <w:t>.</w:t>
      </w:r>
    </w:p>
    <w:p w14:paraId="5A174209" w14:textId="77777777" w:rsidR="00DD21AB" w:rsidRPr="00D836E2" w:rsidRDefault="00DD21AB" w:rsidP="00A249A6">
      <w:pPr>
        <w:widowControl w:val="0"/>
        <w:autoSpaceDE w:val="0"/>
        <w:autoSpaceDN w:val="0"/>
        <w:adjustRightInd w:val="0"/>
        <w:ind w:right="21"/>
        <w:jc w:val="both"/>
        <w:rPr>
          <w:rFonts w:ascii="Ping LCG Regular" w:hAnsi="Ping LCG Regular" w:cs="Arial"/>
          <w:spacing w:val="-14"/>
          <w:lang w:val="el-GR"/>
        </w:rPr>
      </w:pPr>
    </w:p>
    <w:p w14:paraId="791A27D5" w14:textId="19C2B74D" w:rsidR="00A249A6" w:rsidRPr="00A06143" w:rsidRDefault="00A249A6" w:rsidP="00A249A6">
      <w:pPr>
        <w:widowControl w:val="0"/>
        <w:autoSpaceDE w:val="0"/>
        <w:autoSpaceDN w:val="0"/>
        <w:adjustRightInd w:val="0"/>
        <w:ind w:left="1" w:right="18"/>
        <w:rPr>
          <w:rFonts w:ascii="Ping LCG Regular" w:hAnsi="Ping LCG Regular" w:cs="Arial"/>
          <w:bCs/>
          <w:spacing w:val="-14"/>
          <w:szCs w:val="26"/>
          <w:u w:val="single"/>
          <w:lang w:val="el-GR"/>
        </w:rPr>
      </w:pPr>
      <w:bookmarkStart w:id="3" w:name="_Hlk69239273"/>
      <w:r w:rsidRPr="00A06143">
        <w:rPr>
          <w:rFonts w:ascii="Ping LCG Regular" w:hAnsi="Ping LCG Regular" w:cs="Arial"/>
          <w:bCs/>
          <w:spacing w:val="-14"/>
          <w:szCs w:val="26"/>
          <w:u w:val="single"/>
          <w:lang w:val="el-GR"/>
        </w:rPr>
        <w:t xml:space="preserve">Λειτουργικά μεγέθη (παραγωγή - εισαγωγές - εξαγωγές)  </w:t>
      </w:r>
    </w:p>
    <w:p w14:paraId="7B771408" w14:textId="77777777" w:rsidR="00A249A6" w:rsidRPr="00A06143" w:rsidRDefault="00A249A6" w:rsidP="00A249A6">
      <w:pPr>
        <w:autoSpaceDE w:val="0"/>
        <w:autoSpaceDN w:val="0"/>
        <w:adjustRightInd w:val="0"/>
        <w:jc w:val="both"/>
        <w:rPr>
          <w:rFonts w:ascii="Ping LCG Regular" w:hAnsi="Ping LCG Regular" w:cs="Arial"/>
          <w:spacing w:val="-14"/>
          <w:lang w:val="el-GR"/>
        </w:rPr>
      </w:pPr>
    </w:p>
    <w:p w14:paraId="22486846" w14:textId="2C419860" w:rsidR="00A249A6" w:rsidRPr="00C158D9" w:rsidRDefault="00A249A6">
      <w:pPr>
        <w:ind w:firstLine="11"/>
        <w:jc w:val="both"/>
        <w:rPr>
          <w:rFonts w:ascii="Ping LCG Regular" w:hAnsi="Ping LCG Regular" w:cs="Arial"/>
          <w:spacing w:val="-14"/>
          <w:lang w:val="el-GR"/>
        </w:rPr>
      </w:pPr>
      <w:bookmarkStart w:id="4" w:name="_Hlk68250179"/>
      <w:r w:rsidRPr="00A06143">
        <w:rPr>
          <w:rFonts w:ascii="Ping LCG Regular" w:hAnsi="Ping LCG Regular" w:cs="Arial"/>
          <w:spacing w:val="-14"/>
          <w:lang w:val="el-GR"/>
        </w:rPr>
        <w:t>Το 202</w:t>
      </w:r>
      <w:r w:rsidR="00285C46" w:rsidRPr="00A06143">
        <w:rPr>
          <w:rFonts w:ascii="Ping LCG Regular" w:hAnsi="Ping LCG Regular" w:cs="Arial"/>
          <w:spacing w:val="-14"/>
          <w:lang w:val="el-GR"/>
        </w:rPr>
        <w:t>1</w:t>
      </w:r>
      <w:r w:rsidRPr="00A06143">
        <w:rPr>
          <w:rFonts w:ascii="Ping LCG Regular" w:hAnsi="Ping LCG Regular" w:cs="Arial"/>
          <w:spacing w:val="-14"/>
          <w:lang w:val="el-GR"/>
        </w:rPr>
        <w:t xml:space="preserve"> η εγχώρια ζήτηση ηλεκτρικής ενέργειας </w:t>
      </w:r>
      <w:r w:rsidR="007B3176" w:rsidRPr="00A06143">
        <w:rPr>
          <w:rFonts w:ascii="Ping LCG Regular" w:hAnsi="Ping LCG Regular" w:cs="Arial"/>
          <w:spacing w:val="-14"/>
          <w:lang w:val="el-GR"/>
        </w:rPr>
        <w:t>αυξήθηκε</w:t>
      </w:r>
      <w:r w:rsidRPr="00A06143">
        <w:rPr>
          <w:rFonts w:ascii="Ping LCG Regular" w:hAnsi="Ping LCG Regular" w:cs="Arial"/>
          <w:spacing w:val="-14"/>
          <w:lang w:val="el-GR"/>
        </w:rPr>
        <w:t xml:space="preserve"> κατά </w:t>
      </w:r>
      <w:r w:rsidR="00E6192D">
        <w:rPr>
          <w:rFonts w:ascii="Ping LCG Regular" w:hAnsi="Ping LCG Regular" w:cs="Arial"/>
          <w:spacing w:val="-14"/>
          <w:lang w:val="el-GR"/>
        </w:rPr>
        <w:t>4,1</w:t>
      </w:r>
      <w:r w:rsidRPr="00A06143">
        <w:rPr>
          <w:rFonts w:ascii="Ping LCG Regular" w:hAnsi="Ping LCG Regular" w:cs="Arial"/>
          <w:spacing w:val="-14"/>
          <w:lang w:val="el-GR"/>
        </w:rPr>
        <w:t xml:space="preserve">% στις </w:t>
      </w:r>
      <w:r w:rsidR="00E6192D">
        <w:rPr>
          <w:rFonts w:ascii="Ping LCG Regular" w:hAnsi="Ping LCG Regular" w:cs="Arial"/>
          <w:spacing w:val="-14"/>
          <w:lang w:val="el-GR"/>
        </w:rPr>
        <w:t>56</w:t>
      </w:r>
      <w:r w:rsidR="00A06143" w:rsidRPr="00A06143">
        <w:rPr>
          <w:rFonts w:ascii="Ping LCG Regular" w:hAnsi="Ping LCG Regular" w:cs="Arial"/>
          <w:spacing w:val="-14"/>
          <w:lang w:val="el-GR"/>
        </w:rPr>
        <w:t>.</w:t>
      </w:r>
      <w:r w:rsidR="00E6192D">
        <w:rPr>
          <w:rFonts w:ascii="Ping LCG Regular" w:hAnsi="Ping LCG Regular" w:cs="Arial"/>
          <w:spacing w:val="-14"/>
          <w:lang w:val="el-GR"/>
        </w:rPr>
        <w:t>991</w:t>
      </w:r>
      <w:r w:rsidRPr="00A06143">
        <w:rPr>
          <w:rFonts w:ascii="Ping LCG Regular" w:hAnsi="Ping LCG Regular" w:cs="Arial"/>
          <w:spacing w:val="-14"/>
          <w:lang w:val="el-GR"/>
        </w:rPr>
        <w:t xml:space="preserve"> </w:t>
      </w:r>
      <w:r w:rsidRPr="00A06143">
        <w:rPr>
          <w:rFonts w:ascii="Ping LCG Regular" w:hAnsi="Ping LCG Regular" w:cs="Arial"/>
          <w:spacing w:val="-14"/>
        </w:rPr>
        <w:t>GWh</w:t>
      </w:r>
      <w:r w:rsidRPr="00A06143">
        <w:rPr>
          <w:rFonts w:ascii="Ping LCG Regular" w:hAnsi="Ping LCG Regular" w:cs="Arial"/>
          <w:spacing w:val="-14"/>
          <w:lang w:val="el-GR"/>
        </w:rPr>
        <w:t xml:space="preserve"> έναντι </w:t>
      </w:r>
      <w:r w:rsidR="00E6192D">
        <w:rPr>
          <w:rFonts w:ascii="Ping LCG Regular" w:hAnsi="Ping LCG Regular" w:cs="Arial"/>
          <w:spacing w:val="-14"/>
          <w:lang w:val="el-GR"/>
        </w:rPr>
        <w:t>54</w:t>
      </w:r>
      <w:r w:rsidR="00A06143" w:rsidRPr="00A06143">
        <w:rPr>
          <w:rFonts w:ascii="Ping LCG Regular" w:hAnsi="Ping LCG Regular" w:cs="Arial"/>
          <w:spacing w:val="-14"/>
          <w:lang w:val="el-GR"/>
        </w:rPr>
        <w:t>.</w:t>
      </w:r>
      <w:r w:rsidR="00E6192D">
        <w:rPr>
          <w:rFonts w:ascii="Ping LCG Regular" w:hAnsi="Ping LCG Regular" w:cs="Arial"/>
          <w:spacing w:val="-14"/>
          <w:lang w:val="el-GR"/>
        </w:rPr>
        <w:t>758</w:t>
      </w:r>
      <w:r w:rsidRPr="00A06143">
        <w:rPr>
          <w:rFonts w:ascii="Ping LCG Regular" w:hAnsi="Ping LCG Regular" w:cs="Arial"/>
          <w:spacing w:val="-14"/>
          <w:lang w:val="el-GR"/>
        </w:rPr>
        <w:t xml:space="preserve"> </w:t>
      </w:r>
      <w:r w:rsidRPr="00A06143">
        <w:rPr>
          <w:rFonts w:ascii="Ping LCG Regular" w:hAnsi="Ping LCG Regular" w:cs="Arial"/>
          <w:spacing w:val="-14"/>
        </w:rPr>
        <w:t>GWh</w:t>
      </w:r>
      <w:r w:rsidRPr="00A06143">
        <w:rPr>
          <w:rFonts w:ascii="Ping LCG Regular" w:hAnsi="Ping LCG Regular" w:cs="Arial"/>
          <w:spacing w:val="-14"/>
          <w:lang w:val="el-GR"/>
        </w:rPr>
        <w:t xml:space="preserve"> το </w:t>
      </w:r>
      <w:r w:rsidR="00984692" w:rsidRPr="00A06143">
        <w:rPr>
          <w:rFonts w:ascii="Ping LCG Regular" w:hAnsi="Ping LCG Regular" w:cs="Arial"/>
          <w:spacing w:val="-14"/>
          <w:szCs w:val="26"/>
          <w:lang w:val="el-GR"/>
        </w:rPr>
        <w:t>2020</w:t>
      </w:r>
      <w:r w:rsidR="00AD0E8E" w:rsidRPr="00A06143">
        <w:rPr>
          <w:rFonts w:ascii="Ping LCG Regular" w:hAnsi="Ping LCG Regular" w:cs="Arial"/>
          <w:spacing w:val="-14"/>
          <w:szCs w:val="26"/>
          <w:lang w:val="el-GR"/>
        </w:rPr>
        <w:t>, ως αποτέλεσμα της ανάκαμψης της οικονομικής δραστηριότητας, λόγω της χαλάρωσης των περιοριστικών μέτρων για την πανδημία</w:t>
      </w:r>
      <w:r w:rsidRPr="00A06143">
        <w:rPr>
          <w:rFonts w:ascii="Ping LCG Regular" w:hAnsi="Ping LCG Regular" w:cs="Arial"/>
          <w:spacing w:val="-14"/>
          <w:lang w:val="el-GR"/>
        </w:rPr>
        <w:t xml:space="preserve">. Σε επίπεδο συνολικής ζήτησης, περιλαμβάνοντας δηλαδή την </w:t>
      </w:r>
      <w:r w:rsidRPr="004A424A">
        <w:rPr>
          <w:rFonts w:ascii="Ping LCG Regular" w:hAnsi="Ping LCG Regular" w:cs="Arial"/>
          <w:spacing w:val="-14"/>
          <w:lang w:val="el-GR"/>
        </w:rPr>
        <w:t xml:space="preserve">ηλεκτρική ενέργεια για εξαγωγές και άντληση, </w:t>
      </w:r>
      <w:r w:rsidR="00984692" w:rsidRPr="00C158D9">
        <w:rPr>
          <w:rFonts w:ascii="Ping LCG Regular" w:hAnsi="Ping LCG Regular" w:cs="Arial"/>
          <w:spacing w:val="-14"/>
          <w:lang w:val="el-GR"/>
        </w:rPr>
        <w:t xml:space="preserve">σημειώθηκε αύξηση </w:t>
      </w:r>
      <w:r w:rsidRPr="00C158D9">
        <w:rPr>
          <w:rFonts w:ascii="Ping LCG Regular" w:hAnsi="Ping LCG Regular" w:cs="Arial"/>
          <w:spacing w:val="-14"/>
          <w:lang w:val="el-GR"/>
        </w:rPr>
        <w:t xml:space="preserve">κατά </w:t>
      </w:r>
      <w:r w:rsidR="00E6192D">
        <w:rPr>
          <w:rFonts w:ascii="Ping LCG Regular" w:hAnsi="Ping LCG Regular" w:cs="Arial"/>
          <w:spacing w:val="-14"/>
          <w:lang w:val="el-GR"/>
        </w:rPr>
        <w:t>9</w:t>
      </w:r>
      <w:r w:rsidRPr="00C158D9">
        <w:rPr>
          <w:rFonts w:ascii="Ping LCG Regular" w:hAnsi="Ping LCG Regular" w:cs="Arial"/>
          <w:spacing w:val="-14"/>
          <w:lang w:val="el-GR"/>
        </w:rPr>
        <w:t>% λόγω</w:t>
      </w:r>
      <w:r w:rsidR="00A041FA" w:rsidRPr="00C158D9">
        <w:rPr>
          <w:rFonts w:ascii="Ping LCG Regular" w:hAnsi="Ping LCG Regular" w:cs="Arial"/>
          <w:spacing w:val="-14"/>
          <w:lang w:val="el-GR"/>
        </w:rPr>
        <w:t xml:space="preserve"> </w:t>
      </w:r>
      <w:r w:rsidRPr="00C158D9">
        <w:rPr>
          <w:rFonts w:ascii="Ping LCG Regular" w:hAnsi="Ping LCG Regular" w:cs="Arial"/>
          <w:spacing w:val="-14"/>
          <w:lang w:val="el-GR"/>
        </w:rPr>
        <w:t xml:space="preserve">της </w:t>
      </w:r>
      <w:r w:rsidR="00984692" w:rsidRPr="00C158D9">
        <w:rPr>
          <w:rFonts w:ascii="Ping LCG Regular" w:hAnsi="Ping LCG Regular" w:cs="Arial"/>
          <w:spacing w:val="-14"/>
          <w:lang w:val="el-GR"/>
        </w:rPr>
        <w:t>αύξησης</w:t>
      </w:r>
      <w:r w:rsidRPr="00C158D9">
        <w:rPr>
          <w:rFonts w:ascii="Ping LCG Regular" w:hAnsi="Ping LCG Regular" w:cs="Arial"/>
          <w:spacing w:val="-14"/>
          <w:lang w:val="el-GR"/>
        </w:rPr>
        <w:t xml:space="preserve"> των εξαγωγών των Τρίτων (</w:t>
      </w:r>
      <w:r w:rsidR="00984692" w:rsidRPr="00C158D9">
        <w:rPr>
          <w:rFonts w:ascii="Ping LCG Regular" w:hAnsi="Ping LCG Regular" w:cs="Arial"/>
          <w:spacing w:val="-14"/>
          <w:lang w:val="el-GR"/>
        </w:rPr>
        <w:t>αύξηση</w:t>
      </w:r>
      <w:r w:rsidRPr="00C158D9">
        <w:rPr>
          <w:rFonts w:ascii="Ping LCG Regular" w:hAnsi="Ping LCG Regular" w:cs="Arial"/>
          <w:spacing w:val="-14"/>
          <w:lang w:val="el-GR"/>
        </w:rPr>
        <w:t xml:space="preserve"> κατά </w:t>
      </w:r>
      <w:r w:rsidR="00E6192D">
        <w:rPr>
          <w:rFonts w:ascii="Ping LCG Regular" w:hAnsi="Ping LCG Regular" w:cs="Arial"/>
          <w:spacing w:val="-14"/>
          <w:lang w:val="el-GR"/>
        </w:rPr>
        <w:t>2</w:t>
      </w:r>
      <w:r w:rsidRPr="00C158D9">
        <w:rPr>
          <w:rFonts w:ascii="Ping LCG Regular" w:hAnsi="Ping LCG Regular" w:cs="Arial"/>
          <w:spacing w:val="-14"/>
          <w:lang w:val="el-GR"/>
        </w:rPr>
        <w:t>.</w:t>
      </w:r>
      <w:r w:rsidR="00A06143" w:rsidRPr="00C158D9">
        <w:rPr>
          <w:rFonts w:ascii="Ping LCG Regular" w:hAnsi="Ping LCG Regular" w:cs="Arial"/>
          <w:spacing w:val="-14"/>
          <w:lang w:val="el-GR"/>
        </w:rPr>
        <w:t>9</w:t>
      </w:r>
      <w:r w:rsidR="00E6192D">
        <w:rPr>
          <w:rFonts w:ascii="Ping LCG Regular" w:hAnsi="Ping LCG Regular" w:cs="Arial"/>
          <w:spacing w:val="-14"/>
          <w:lang w:val="el-GR"/>
        </w:rPr>
        <w:t>61</w:t>
      </w:r>
      <w:r w:rsidRPr="00C158D9">
        <w:rPr>
          <w:rFonts w:ascii="Ping LCG Regular" w:hAnsi="Ping LCG Regular" w:cs="Arial"/>
          <w:spacing w:val="-14"/>
          <w:lang w:val="el-GR"/>
        </w:rPr>
        <w:t xml:space="preserve"> </w:t>
      </w:r>
      <w:r w:rsidRPr="00C158D9">
        <w:rPr>
          <w:rFonts w:ascii="Ping LCG Regular" w:hAnsi="Ping LCG Regular" w:cs="Arial"/>
          <w:spacing w:val="-14"/>
        </w:rPr>
        <w:t>GWh</w:t>
      </w:r>
      <w:r w:rsidRPr="00C158D9">
        <w:rPr>
          <w:rFonts w:ascii="Ping LCG Regular" w:hAnsi="Ping LCG Regular" w:cs="Arial"/>
          <w:spacing w:val="-14"/>
          <w:lang w:val="el-GR"/>
        </w:rPr>
        <w:t xml:space="preserve"> </w:t>
      </w:r>
      <w:r w:rsidR="002A066F" w:rsidRPr="00C158D9">
        <w:rPr>
          <w:rFonts w:ascii="Ping LCG Regular" w:hAnsi="Ping LCG Regular" w:cs="Arial"/>
          <w:spacing w:val="-14"/>
          <w:lang w:val="el-GR"/>
        </w:rPr>
        <w:t xml:space="preserve">ή </w:t>
      </w:r>
      <w:r w:rsidR="00FA05F2" w:rsidRPr="00FA05F2">
        <w:rPr>
          <w:rFonts w:ascii="Ping LCG Regular" w:hAnsi="Ping LCG Regular" w:cs="Arial"/>
          <w:spacing w:val="-14"/>
          <w:lang w:val="el-GR"/>
        </w:rPr>
        <w:t>1</w:t>
      </w:r>
      <w:r w:rsidR="00E6192D">
        <w:rPr>
          <w:rFonts w:ascii="Ping LCG Regular" w:hAnsi="Ping LCG Regular" w:cs="Arial"/>
          <w:spacing w:val="-14"/>
          <w:lang w:val="el-GR"/>
        </w:rPr>
        <w:t>65</w:t>
      </w:r>
      <w:r w:rsidR="00A06143" w:rsidRPr="00C158D9">
        <w:rPr>
          <w:rFonts w:ascii="Ping LCG Regular" w:hAnsi="Ping LCG Regular" w:cs="Arial"/>
          <w:spacing w:val="-14"/>
          <w:lang w:val="el-GR"/>
        </w:rPr>
        <w:t>,</w:t>
      </w:r>
      <w:r w:rsidR="00E6192D">
        <w:rPr>
          <w:rFonts w:ascii="Ping LCG Regular" w:hAnsi="Ping LCG Regular" w:cs="Arial"/>
          <w:spacing w:val="-14"/>
          <w:lang w:val="el-GR"/>
        </w:rPr>
        <w:t>8</w:t>
      </w:r>
      <w:r w:rsidR="002A066F" w:rsidRPr="00C158D9">
        <w:rPr>
          <w:rFonts w:ascii="Ping LCG Regular" w:hAnsi="Ping LCG Regular" w:cs="Arial"/>
          <w:spacing w:val="-14"/>
          <w:lang w:val="el-GR"/>
        </w:rPr>
        <w:t xml:space="preserve">% </w:t>
      </w:r>
      <w:r w:rsidRPr="00C158D9">
        <w:rPr>
          <w:rFonts w:ascii="Ping LCG Regular" w:hAnsi="Ping LCG Regular" w:cs="Arial"/>
          <w:spacing w:val="-14"/>
          <w:lang w:val="el-GR"/>
        </w:rPr>
        <w:t>σε σχέση με</w:t>
      </w:r>
      <w:r w:rsidR="00DD1423" w:rsidRPr="00C158D9">
        <w:rPr>
          <w:rFonts w:ascii="Ping LCG Regular" w:hAnsi="Ping LCG Regular" w:cs="Arial"/>
          <w:spacing w:val="-14"/>
          <w:lang w:val="el-GR"/>
        </w:rPr>
        <w:t xml:space="preserve"> </w:t>
      </w:r>
      <w:r w:rsidR="00A041FA" w:rsidRPr="00C158D9">
        <w:rPr>
          <w:rFonts w:ascii="Ping LCG Regular" w:hAnsi="Ping LCG Regular" w:cs="Arial"/>
          <w:spacing w:val="-14"/>
          <w:lang w:val="el-GR"/>
        </w:rPr>
        <w:t>το 2020</w:t>
      </w:r>
      <w:r w:rsidRPr="00C158D9">
        <w:rPr>
          <w:rFonts w:ascii="Ping LCG Regular" w:hAnsi="Ping LCG Regular" w:cs="Arial"/>
          <w:spacing w:val="-14"/>
          <w:lang w:val="el-GR"/>
        </w:rPr>
        <w:t xml:space="preserve">).  </w:t>
      </w:r>
      <w:r w:rsidR="00E1334D" w:rsidRPr="00C158D9">
        <w:rPr>
          <w:rFonts w:ascii="Ping LCG Regular" w:hAnsi="Ping LCG Regular" w:cs="Arial"/>
          <w:spacing w:val="-14"/>
          <w:lang w:val="el-GR"/>
        </w:rPr>
        <w:t>Ειδικότερα,</w:t>
      </w:r>
      <w:r w:rsidR="007D0E22" w:rsidRPr="00C158D9">
        <w:rPr>
          <w:rFonts w:ascii="Ping LCG Regular" w:hAnsi="Ping LCG Regular" w:cs="Arial"/>
          <w:spacing w:val="-14"/>
          <w:lang w:val="el-GR"/>
        </w:rPr>
        <w:t xml:space="preserve"> </w:t>
      </w:r>
      <w:r w:rsidR="0000478F" w:rsidRPr="00C158D9">
        <w:rPr>
          <w:rFonts w:ascii="Ping LCG Regular" w:hAnsi="Ping LCG Regular" w:cs="Arial"/>
          <w:spacing w:val="-14"/>
          <w:lang w:val="el-GR"/>
        </w:rPr>
        <w:t xml:space="preserve">το </w:t>
      </w:r>
      <w:r w:rsidR="00E6192D">
        <w:rPr>
          <w:rFonts w:ascii="Ping LCG Regular" w:hAnsi="Ping LCG Regular" w:cs="Arial"/>
          <w:spacing w:val="-14"/>
          <w:lang w:val="el-GR"/>
        </w:rPr>
        <w:t>δ</w:t>
      </w:r>
      <w:r w:rsidR="0000478F" w:rsidRPr="00C158D9">
        <w:rPr>
          <w:rFonts w:ascii="Ping LCG Regular" w:hAnsi="Ping LCG Regular" w:cs="Arial"/>
          <w:spacing w:val="-14"/>
          <w:lang w:val="el-GR"/>
        </w:rPr>
        <w:t xml:space="preserve">’ </w:t>
      </w:r>
      <w:r w:rsidR="007F675C" w:rsidRPr="00C158D9">
        <w:rPr>
          <w:rFonts w:ascii="Ping LCG Regular" w:hAnsi="Ping LCG Regular" w:cs="Arial"/>
          <w:spacing w:val="-14"/>
          <w:lang w:val="el-GR"/>
        </w:rPr>
        <w:t>τρίμηνο</w:t>
      </w:r>
      <w:r w:rsidR="0000478F" w:rsidRPr="00C158D9">
        <w:rPr>
          <w:rFonts w:ascii="Ping LCG Regular" w:hAnsi="Ping LCG Regular" w:cs="Arial"/>
          <w:spacing w:val="-14"/>
          <w:lang w:val="el-GR"/>
        </w:rPr>
        <w:t xml:space="preserve"> 2021 η εγχώρια ζήτηση ηλεκτρικής ενέργειας αυξήθηκε κατά </w:t>
      </w:r>
      <w:r w:rsidR="00475C85" w:rsidRPr="00C158D9">
        <w:rPr>
          <w:rFonts w:ascii="Ping LCG Regular" w:hAnsi="Ping LCG Regular" w:cs="Arial"/>
          <w:spacing w:val="-14"/>
          <w:lang w:val="el-GR"/>
        </w:rPr>
        <w:t>7,</w:t>
      </w:r>
      <w:r w:rsidR="00E6192D">
        <w:rPr>
          <w:rFonts w:ascii="Ping LCG Regular" w:hAnsi="Ping LCG Regular" w:cs="Arial"/>
          <w:spacing w:val="-14"/>
          <w:lang w:val="el-GR"/>
        </w:rPr>
        <w:t>4</w:t>
      </w:r>
      <w:r w:rsidR="0000478F" w:rsidRPr="00C158D9">
        <w:rPr>
          <w:rFonts w:ascii="Ping LCG Regular" w:hAnsi="Ping LCG Regular" w:cs="Arial"/>
          <w:spacing w:val="-14"/>
          <w:lang w:val="el-GR"/>
        </w:rPr>
        <w:t xml:space="preserve">% στις </w:t>
      </w:r>
      <w:r w:rsidR="009614FF" w:rsidRPr="00C158D9">
        <w:rPr>
          <w:rFonts w:ascii="Ping LCG Regular" w:hAnsi="Ping LCG Regular" w:cs="Arial"/>
          <w:spacing w:val="-14"/>
          <w:lang w:val="el-GR"/>
        </w:rPr>
        <w:t>1</w:t>
      </w:r>
      <w:r w:rsidR="00E6192D">
        <w:rPr>
          <w:rFonts w:ascii="Ping LCG Regular" w:hAnsi="Ping LCG Regular" w:cs="Arial"/>
          <w:spacing w:val="-14"/>
          <w:lang w:val="el-GR"/>
        </w:rPr>
        <w:t>4</w:t>
      </w:r>
      <w:r w:rsidR="0000478F" w:rsidRPr="00C158D9">
        <w:rPr>
          <w:rFonts w:ascii="Ping LCG Regular" w:hAnsi="Ping LCG Regular" w:cs="Arial"/>
          <w:spacing w:val="-14"/>
          <w:lang w:val="el-GR"/>
        </w:rPr>
        <w:t>.</w:t>
      </w:r>
      <w:r w:rsidR="00E6192D">
        <w:rPr>
          <w:rFonts w:ascii="Ping LCG Regular" w:hAnsi="Ping LCG Regular" w:cs="Arial"/>
          <w:spacing w:val="-14"/>
          <w:lang w:val="el-GR"/>
        </w:rPr>
        <w:t>043</w:t>
      </w:r>
      <w:r w:rsidR="0000478F" w:rsidRPr="00C158D9">
        <w:rPr>
          <w:rFonts w:ascii="Ping LCG Regular" w:hAnsi="Ping LCG Regular" w:cs="Arial"/>
          <w:spacing w:val="-14"/>
          <w:lang w:val="el-GR"/>
        </w:rPr>
        <w:t xml:space="preserve"> </w:t>
      </w:r>
      <w:r w:rsidR="0000478F" w:rsidRPr="00C158D9">
        <w:rPr>
          <w:rFonts w:ascii="Ping LCG Regular" w:hAnsi="Ping LCG Regular" w:cs="Arial"/>
          <w:spacing w:val="-14"/>
        </w:rPr>
        <w:t>GWh</w:t>
      </w:r>
      <w:r w:rsidR="0000478F" w:rsidRPr="00C158D9">
        <w:rPr>
          <w:rFonts w:ascii="Ping LCG Regular" w:hAnsi="Ping LCG Regular" w:cs="Arial"/>
          <w:spacing w:val="-14"/>
          <w:lang w:val="el-GR"/>
        </w:rPr>
        <w:t xml:space="preserve"> έναντι </w:t>
      </w:r>
      <w:r w:rsidR="00475C85" w:rsidRPr="00C158D9">
        <w:rPr>
          <w:rFonts w:ascii="Ping LCG Regular" w:hAnsi="Ping LCG Regular" w:cs="Arial"/>
          <w:spacing w:val="-14"/>
          <w:lang w:val="el-GR"/>
        </w:rPr>
        <w:t>1</w:t>
      </w:r>
      <w:r w:rsidR="00E6192D">
        <w:rPr>
          <w:rFonts w:ascii="Ping LCG Regular" w:hAnsi="Ping LCG Regular" w:cs="Arial"/>
          <w:spacing w:val="-14"/>
          <w:lang w:val="el-GR"/>
        </w:rPr>
        <w:t>3</w:t>
      </w:r>
      <w:r w:rsidR="00475C85" w:rsidRPr="00C158D9">
        <w:rPr>
          <w:rFonts w:ascii="Ping LCG Regular" w:hAnsi="Ping LCG Regular" w:cs="Arial"/>
          <w:spacing w:val="-14"/>
          <w:lang w:val="el-GR"/>
        </w:rPr>
        <w:t>.</w:t>
      </w:r>
      <w:r w:rsidR="00E6192D">
        <w:rPr>
          <w:rFonts w:ascii="Ping LCG Regular" w:hAnsi="Ping LCG Regular" w:cs="Arial"/>
          <w:spacing w:val="-14"/>
          <w:lang w:val="el-GR"/>
        </w:rPr>
        <w:t>071</w:t>
      </w:r>
      <w:r w:rsidR="0000478F" w:rsidRPr="00C158D9">
        <w:rPr>
          <w:rFonts w:ascii="Ping LCG Regular" w:hAnsi="Ping LCG Regular" w:cs="Arial"/>
          <w:spacing w:val="-14"/>
          <w:lang w:val="el-GR"/>
        </w:rPr>
        <w:t xml:space="preserve"> </w:t>
      </w:r>
      <w:r w:rsidR="0000478F" w:rsidRPr="00C158D9">
        <w:rPr>
          <w:rFonts w:ascii="Ping LCG Regular" w:hAnsi="Ping LCG Regular" w:cs="Arial"/>
          <w:spacing w:val="-14"/>
        </w:rPr>
        <w:t>GWh</w:t>
      </w:r>
      <w:r w:rsidR="0000478F" w:rsidRPr="00C158D9">
        <w:rPr>
          <w:rFonts w:ascii="Ping LCG Regular" w:hAnsi="Ping LCG Regular" w:cs="Arial"/>
          <w:spacing w:val="-14"/>
          <w:lang w:val="el-GR"/>
        </w:rPr>
        <w:t xml:space="preserve"> το </w:t>
      </w:r>
      <w:r w:rsidR="00E6192D">
        <w:rPr>
          <w:rFonts w:ascii="Ping LCG Regular" w:hAnsi="Ping LCG Regular" w:cs="Arial"/>
          <w:spacing w:val="-14"/>
          <w:szCs w:val="26"/>
          <w:lang w:val="el-GR"/>
        </w:rPr>
        <w:t>δ</w:t>
      </w:r>
      <w:r w:rsidR="00475C85" w:rsidRPr="00C158D9">
        <w:rPr>
          <w:rFonts w:ascii="Ping LCG Regular" w:hAnsi="Ping LCG Regular" w:cs="Arial"/>
          <w:spacing w:val="-14"/>
          <w:szCs w:val="26"/>
          <w:lang w:val="el-GR"/>
        </w:rPr>
        <w:t>΄ τρίμηνο</w:t>
      </w:r>
      <w:r w:rsidR="0000478F" w:rsidRPr="00C158D9">
        <w:rPr>
          <w:rFonts w:ascii="Ping LCG Regular" w:hAnsi="Ping LCG Regular" w:cs="Arial"/>
          <w:spacing w:val="-14"/>
          <w:szCs w:val="26"/>
          <w:lang w:val="el-GR"/>
        </w:rPr>
        <w:t xml:space="preserve"> του 2020</w:t>
      </w:r>
      <w:r w:rsidR="009614FF" w:rsidRPr="00C158D9">
        <w:rPr>
          <w:rFonts w:ascii="Ping LCG Regular" w:hAnsi="Ping LCG Regular" w:cs="Arial"/>
          <w:spacing w:val="-14"/>
          <w:szCs w:val="26"/>
          <w:lang w:val="el-GR"/>
        </w:rPr>
        <w:t>.</w:t>
      </w:r>
    </w:p>
    <w:p w14:paraId="0160B31C" w14:textId="77777777" w:rsidR="00BC0760" w:rsidRPr="00A06143" w:rsidRDefault="00BC0760" w:rsidP="00A249A6">
      <w:pPr>
        <w:ind w:firstLine="11"/>
        <w:jc w:val="both"/>
        <w:rPr>
          <w:rFonts w:ascii="Ping LCG Regular" w:hAnsi="Ping LCG Regular" w:cs="Arial"/>
          <w:spacing w:val="-14"/>
          <w:lang w:val="el-GR"/>
        </w:rPr>
      </w:pPr>
    </w:p>
    <w:bookmarkEnd w:id="4"/>
    <w:p w14:paraId="7BF9D0E3" w14:textId="4CD2F736" w:rsidR="00A249A6" w:rsidRPr="008A77EE" w:rsidRDefault="00A249A6">
      <w:pPr>
        <w:ind w:firstLine="11"/>
        <w:jc w:val="both"/>
        <w:rPr>
          <w:rFonts w:ascii="Ping LCG Regular" w:hAnsi="Ping LCG Regular" w:cs="Arial"/>
          <w:spacing w:val="-14"/>
          <w:lang w:val="el-GR"/>
        </w:rPr>
      </w:pPr>
      <w:r w:rsidRPr="00A06143">
        <w:rPr>
          <w:rFonts w:ascii="Ping LCG Regular" w:hAnsi="Ping LCG Regular" w:cs="Arial"/>
          <w:spacing w:val="-14"/>
          <w:lang w:val="el-GR"/>
        </w:rPr>
        <w:t>Το μέσο μερίδιο της ΔΕΗ στην αγορά προμήθειας στο σύνολο της χώρας μειώθηκε σε 6</w:t>
      </w:r>
      <w:r w:rsidR="00E6192D">
        <w:rPr>
          <w:rFonts w:ascii="Ping LCG Regular" w:hAnsi="Ping LCG Regular" w:cs="Arial"/>
          <w:spacing w:val="-14"/>
          <w:lang w:val="el-GR"/>
        </w:rPr>
        <w:t>4</w:t>
      </w:r>
      <w:r w:rsidRPr="00A06143">
        <w:rPr>
          <w:rFonts w:ascii="Ping LCG Regular" w:hAnsi="Ping LCG Regular" w:cs="Arial"/>
          <w:spacing w:val="-14"/>
          <w:lang w:val="el-GR"/>
        </w:rPr>
        <w:t>,</w:t>
      </w:r>
      <w:r w:rsidR="00E6192D">
        <w:rPr>
          <w:rFonts w:ascii="Ping LCG Regular" w:hAnsi="Ping LCG Regular" w:cs="Arial"/>
          <w:spacing w:val="-14"/>
          <w:lang w:val="el-GR"/>
        </w:rPr>
        <w:t>3</w:t>
      </w:r>
      <w:r w:rsidRPr="00A06143">
        <w:rPr>
          <w:rFonts w:ascii="Ping LCG Regular" w:hAnsi="Ping LCG Regular" w:cs="Arial"/>
          <w:spacing w:val="-14"/>
          <w:lang w:val="el-GR"/>
        </w:rPr>
        <w:t>% το</w:t>
      </w:r>
      <w:r w:rsidR="00A041FA" w:rsidRPr="00A06143">
        <w:rPr>
          <w:rFonts w:ascii="Ping LCG Regular" w:hAnsi="Ping LCG Regular" w:cs="Arial"/>
          <w:spacing w:val="-14"/>
          <w:lang w:val="el-GR"/>
        </w:rPr>
        <w:t xml:space="preserve"> 2021</w:t>
      </w:r>
      <w:r w:rsidR="00452B6D" w:rsidRPr="00A06143">
        <w:rPr>
          <w:rFonts w:ascii="Ping LCG Regular" w:hAnsi="Ping LCG Regular" w:cs="Arial"/>
          <w:spacing w:val="-14"/>
          <w:lang w:val="el-GR"/>
        </w:rPr>
        <w:t xml:space="preserve"> </w:t>
      </w:r>
      <w:r w:rsidRPr="00A06143">
        <w:rPr>
          <w:rFonts w:ascii="Ping LCG Regular" w:hAnsi="Ping LCG Regular" w:cs="Arial"/>
          <w:spacing w:val="-14"/>
          <w:lang w:val="el-GR"/>
        </w:rPr>
        <w:t xml:space="preserve">από </w:t>
      </w:r>
      <w:r w:rsidR="00001463" w:rsidRPr="00A06143">
        <w:rPr>
          <w:rFonts w:ascii="Ping LCG Regular" w:hAnsi="Ping LCG Regular" w:cs="Arial"/>
          <w:spacing w:val="-14"/>
          <w:lang w:val="el-GR"/>
        </w:rPr>
        <w:t>6</w:t>
      </w:r>
      <w:r w:rsidR="00E6192D">
        <w:rPr>
          <w:rFonts w:ascii="Ping LCG Regular" w:hAnsi="Ping LCG Regular" w:cs="Arial"/>
          <w:spacing w:val="-14"/>
          <w:lang w:val="el-GR"/>
        </w:rPr>
        <w:t>8</w:t>
      </w:r>
      <w:r w:rsidR="00001463" w:rsidRPr="00A06143">
        <w:rPr>
          <w:rFonts w:ascii="Ping LCG Regular" w:hAnsi="Ping LCG Regular" w:cs="Arial"/>
          <w:spacing w:val="-14"/>
          <w:lang w:val="el-GR"/>
        </w:rPr>
        <w:t>,</w:t>
      </w:r>
      <w:r w:rsidR="00E6192D">
        <w:rPr>
          <w:rFonts w:ascii="Ping LCG Regular" w:hAnsi="Ping LCG Regular" w:cs="Arial"/>
          <w:spacing w:val="-14"/>
          <w:lang w:val="el-GR"/>
        </w:rPr>
        <w:t>7</w:t>
      </w:r>
      <w:r w:rsidRPr="00A06143">
        <w:rPr>
          <w:rFonts w:ascii="Ping LCG Regular" w:hAnsi="Ping LCG Regular" w:cs="Arial"/>
          <w:spacing w:val="-14"/>
          <w:lang w:val="el-GR"/>
        </w:rPr>
        <w:t>%</w:t>
      </w:r>
      <w:r w:rsidR="00E6192D">
        <w:rPr>
          <w:rFonts w:ascii="Ping LCG Regular" w:hAnsi="Ping LCG Regular" w:cs="Arial"/>
          <w:spacing w:val="-14"/>
          <w:lang w:val="el-GR"/>
        </w:rPr>
        <w:t xml:space="preserve"> </w:t>
      </w:r>
      <w:r w:rsidR="00A041FA" w:rsidRPr="002A40B4">
        <w:rPr>
          <w:rFonts w:ascii="Ping LCG Regular" w:hAnsi="Ping LCG Regular" w:cs="Arial"/>
          <w:spacing w:val="-14"/>
          <w:szCs w:val="26"/>
          <w:lang w:val="el-GR"/>
        </w:rPr>
        <w:t>το 2020</w:t>
      </w:r>
      <w:r w:rsidRPr="002A40B4">
        <w:rPr>
          <w:rFonts w:ascii="Ping LCG Regular" w:hAnsi="Ping LCG Regular" w:cs="Arial"/>
          <w:spacing w:val="-14"/>
          <w:lang w:val="el-GR"/>
        </w:rPr>
        <w:t xml:space="preserve">. </w:t>
      </w:r>
      <w:r w:rsidRPr="009172C6">
        <w:rPr>
          <w:rFonts w:ascii="Ping LCG Regular" w:hAnsi="Ping LCG Regular" w:cs="Arial"/>
          <w:spacing w:val="-14"/>
          <w:lang w:val="el-GR"/>
        </w:rPr>
        <w:t xml:space="preserve">Ειδικότερα, το μέσο μερίδιο αγοράς στο Διασυνδεδεμένο Σύστημα περιορίσθηκε σε </w:t>
      </w:r>
      <w:r w:rsidR="001D4DE5" w:rsidRPr="009172C6">
        <w:rPr>
          <w:rFonts w:ascii="Ping LCG Regular" w:hAnsi="Ping LCG Regular" w:cs="Arial"/>
          <w:spacing w:val="-14"/>
          <w:lang w:val="el-GR"/>
        </w:rPr>
        <w:t>6</w:t>
      </w:r>
      <w:r w:rsidR="009172C6" w:rsidRPr="009172C6">
        <w:rPr>
          <w:rFonts w:ascii="Ping LCG Regular" w:hAnsi="Ping LCG Regular" w:cs="Arial"/>
          <w:spacing w:val="-14"/>
          <w:lang w:val="el-GR"/>
        </w:rPr>
        <w:t>4</w:t>
      </w:r>
      <w:r w:rsidR="00266CB1" w:rsidRPr="009172C6">
        <w:rPr>
          <w:rFonts w:ascii="Ping LCG Regular" w:hAnsi="Ping LCG Regular" w:cs="Arial"/>
          <w:spacing w:val="-14"/>
          <w:lang w:val="el-GR"/>
        </w:rPr>
        <w:t>,</w:t>
      </w:r>
      <w:r w:rsidR="006C1DD3">
        <w:rPr>
          <w:rFonts w:ascii="Ping LCG Regular" w:hAnsi="Ping LCG Regular" w:cs="Arial"/>
          <w:spacing w:val="-14"/>
          <w:lang w:val="el-GR"/>
        </w:rPr>
        <w:t>2</w:t>
      </w:r>
      <w:r w:rsidRPr="009172C6">
        <w:rPr>
          <w:rFonts w:ascii="Ping LCG Regular" w:hAnsi="Ping LCG Regular" w:cs="Arial"/>
          <w:spacing w:val="-14"/>
          <w:lang w:val="el-GR"/>
        </w:rPr>
        <w:t xml:space="preserve">% τον </w:t>
      </w:r>
      <w:r w:rsidR="009172C6" w:rsidRPr="009172C6">
        <w:rPr>
          <w:rFonts w:ascii="Ping LCG Regular" w:hAnsi="Ping LCG Regular" w:cs="Arial"/>
          <w:spacing w:val="-14"/>
          <w:lang w:val="el-GR"/>
        </w:rPr>
        <w:t>Δεκέμβριο</w:t>
      </w:r>
      <w:r w:rsidR="00266CB1" w:rsidRPr="009172C6">
        <w:rPr>
          <w:rFonts w:ascii="Ping LCG Regular" w:hAnsi="Ping LCG Regular" w:cs="Arial"/>
          <w:spacing w:val="-14"/>
          <w:lang w:val="el-GR"/>
        </w:rPr>
        <w:t xml:space="preserve"> </w:t>
      </w:r>
      <w:r w:rsidRPr="009172C6">
        <w:rPr>
          <w:rFonts w:ascii="Ping LCG Regular" w:hAnsi="Ping LCG Regular" w:cs="Arial"/>
          <w:spacing w:val="-14"/>
          <w:lang w:val="el-GR"/>
        </w:rPr>
        <w:t>του 202</w:t>
      </w:r>
      <w:r w:rsidR="009A6495" w:rsidRPr="009172C6">
        <w:rPr>
          <w:rFonts w:ascii="Ping LCG Regular" w:hAnsi="Ping LCG Regular" w:cs="Arial"/>
          <w:spacing w:val="-14"/>
          <w:lang w:val="el-GR"/>
        </w:rPr>
        <w:t>1</w:t>
      </w:r>
      <w:r w:rsidRPr="009172C6">
        <w:rPr>
          <w:rFonts w:ascii="Ping LCG Regular" w:hAnsi="Ping LCG Regular" w:cs="Arial"/>
          <w:spacing w:val="-14"/>
          <w:lang w:val="el-GR"/>
        </w:rPr>
        <w:t xml:space="preserve"> από </w:t>
      </w:r>
      <w:r w:rsidR="009A6495" w:rsidRPr="009172C6">
        <w:rPr>
          <w:rFonts w:ascii="Ping LCG Regular" w:hAnsi="Ping LCG Regular" w:cs="Arial"/>
          <w:spacing w:val="-14"/>
          <w:lang w:val="el-GR"/>
        </w:rPr>
        <w:t>6</w:t>
      </w:r>
      <w:r w:rsidR="009172C6" w:rsidRPr="009172C6">
        <w:rPr>
          <w:rFonts w:ascii="Ping LCG Regular" w:hAnsi="Ping LCG Regular" w:cs="Arial"/>
          <w:spacing w:val="-14"/>
          <w:lang w:val="el-GR"/>
        </w:rPr>
        <w:t>6</w:t>
      </w:r>
      <w:r w:rsidR="00266CB1" w:rsidRPr="009172C6">
        <w:rPr>
          <w:rFonts w:ascii="Ping LCG Regular" w:hAnsi="Ping LCG Regular" w:cs="Arial"/>
          <w:spacing w:val="-14"/>
          <w:lang w:val="el-GR"/>
        </w:rPr>
        <w:t>,</w:t>
      </w:r>
      <w:r w:rsidR="009172C6" w:rsidRPr="009172C6">
        <w:rPr>
          <w:rFonts w:ascii="Ping LCG Regular" w:hAnsi="Ping LCG Regular" w:cs="Arial"/>
          <w:spacing w:val="-14"/>
          <w:lang w:val="el-GR"/>
        </w:rPr>
        <w:t>8</w:t>
      </w:r>
      <w:r w:rsidR="00113900" w:rsidRPr="009172C6">
        <w:rPr>
          <w:rFonts w:ascii="Ping LCG Regular" w:hAnsi="Ping LCG Regular" w:cs="Arial"/>
          <w:spacing w:val="-14"/>
          <w:lang w:val="el-GR"/>
        </w:rPr>
        <w:t>%</w:t>
      </w:r>
      <w:r w:rsidRPr="009172C6">
        <w:rPr>
          <w:rFonts w:ascii="Ping LCG Regular" w:hAnsi="Ping LCG Regular" w:cs="Arial"/>
          <w:spacing w:val="-14"/>
          <w:lang w:val="el-GR"/>
        </w:rPr>
        <w:t xml:space="preserve"> τον </w:t>
      </w:r>
      <w:r w:rsidR="009172C6" w:rsidRPr="009172C6">
        <w:rPr>
          <w:rFonts w:ascii="Ping LCG Regular" w:hAnsi="Ping LCG Regular" w:cs="Arial"/>
          <w:spacing w:val="-14"/>
          <w:lang w:val="el-GR"/>
        </w:rPr>
        <w:t>Δεκέμβριο</w:t>
      </w:r>
      <w:r w:rsidRPr="009172C6">
        <w:rPr>
          <w:rFonts w:ascii="Ping LCG Regular" w:hAnsi="Ping LCG Regular" w:cs="Arial"/>
          <w:spacing w:val="-14"/>
          <w:lang w:val="el-GR"/>
        </w:rPr>
        <w:t xml:space="preserve"> του 20</w:t>
      </w:r>
      <w:r w:rsidR="009A6495" w:rsidRPr="009172C6">
        <w:rPr>
          <w:rFonts w:ascii="Ping LCG Regular" w:hAnsi="Ping LCG Regular" w:cs="Arial"/>
          <w:spacing w:val="-14"/>
          <w:lang w:val="el-GR"/>
        </w:rPr>
        <w:t>20</w:t>
      </w:r>
      <w:r w:rsidR="009E62CA" w:rsidRPr="009172C6">
        <w:rPr>
          <w:rFonts w:ascii="Ping LCG Regular" w:hAnsi="Ping LCG Regular" w:cs="Arial"/>
          <w:spacing w:val="-14"/>
          <w:lang w:val="el-GR"/>
        </w:rPr>
        <w:t xml:space="preserve">, </w:t>
      </w:r>
      <w:r w:rsidRPr="009172C6">
        <w:rPr>
          <w:rFonts w:ascii="Ping LCG Regular" w:hAnsi="Ping LCG Regular" w:cs="Arial"/>
          <w:spacing w:val="-14"/>
          <w:lang w:val="el-GR"/>
        </w:rPr>
        <w:t xml:space="preserve">ενώ το μέσο μερίδιο ανά τάση, ήταν </w:t>
      </w:r>
      <w:r w:rsidR="002A40B4" w:rsidRPr="009172C6">
        <w:rPr>
          <w:rFonts w:ascii="Ping LCG Regular" w:hAnsi="Ping LCG Regular" w:cs="Arial"/>
          <w:spacing w:val="-14"/>
          <w:lang w:val="el-GR"/>
        </w:rPr>
        <w:t>8</w:t>
      </w:r>
      <w:r w:rsidR="00DB6862">
        <w:rPr>
          <w:rFonts w:ascii="Ping LCG Regular" w:hAnsi="Ping LCG Regular" w:cs="Arial"/>
          <w:spacing w:val="-14"/>
          <w:lang w:val="el-GR"/>
        </w:rPr>
        <w:t>7</w:t>
      </w:r>
      <w:r w:rsidRPr="009172C6">
        <w:rPr>
          <w:rFonts w:ascii="Ping LCG Regular" w:hAnsi="Ping LCG Regular" w:cs="Arial"/>
          <w:spacing w:val="-14"/>
          <w:lang w:val="el-GR"/>
        </w:rPr>
        <w:t>,</w:t>
      </w:r>
      <w:r w:rsidR="00DB6862">
        <w:rPr>
          <w:rFonts w:ascii="Ping LCG Regular" w:hAnsi="Ping LCG Regular" w:cs="Arial"/>
          <w:spacing w:val="-14"/>
          <w:lang w:val="el-GR"/>
        </w:rPr>
        <w:t>8</w:t>
      </w:r>
      <w:r w:rsidRPr="009172C6">
        <w:rPr>
          <w:rFonts w:ascii="Ping LCG Regular" w:hAnsi="Ping LCG Regular" w:cs="Arial"/>
          <w:spacing w:val="-14"/>
          <w:lang w:val="el-GR"/>
        </w:rPr>
        <w:t xml:space="preserve">% (από </w:t>
      </w:r>
      <w:r w:rsidR="00DB6862">
        <w:rPr>
          <w:rFonts w:ascii="Ping LCG Regular" w:hAnsi="Ping LCG Regular" w:cs="Arial"/>
          <w:spacing w:val="-14"/>
          <w:lang w:val="el-GR"/>
        </w:rPr>
        <w:t>94</w:t>
      </w:r>
      <w:r w:rsidR="002A40B4" w:rsidRPr="009172C6">
        <w:rPr>
          <w:rFonts w:ascii="Ping LCG Regular" w:hAnsi="Ping LCG Regular" w:cs="Arial"/>
          <w:spacing w:val="-14"/>
          <w:lang w:val="el-GR"/>
        </w:rPr>
        <w:t>,</w:t>
      </w:r>
      <w:r w:rsidR="00DB6862">
        <w:rPr>
          <w:rFonts w:ascii="Ping LCG Regular" w:hAnsi="Ping LCG Regular" w:cs="Arial"/>
          <w:spacing w:val="-14"/>
          <w:lang w:val="el-GR"/>
        </w:rPr>
        <w:t>4</w:t>
      </w:r>
      <w:r w:rsidRPr="009172C6">
        <w:rPr>
          <w:rFonts w:ascii="Ping LCG Regular" w:hAnsi="Ping LCG Regular" w:cs="Arial"/>
          <w:spacing w:val="-14"/>
          <w:lang w:val="el-GR"/>
        </w:rPr>
        <w:t xml:space="preserve">%) στην Υψηλή Τάση, </w:t>
      </w:r>
      <w:r w:rsidR="00DB6862">
        <w:rPr>
          <w:rFonts w:ascii="Ping LCG Regular" w:hAnsi="Ping LCG Regular" w:cs="Arial"/>
          <w:spacing w:val="-14"/>
          <w:lang w:val="el-GR"/>
        </w:rPr>
        <w:t>44</w:t>
      </w:r>
      <w:r w:rsidRPr="009172C6">
        <w:rPr>
          <w:rFonts w:ascii="Ping LCG Regular" w:hAnsi="Ping LCG Regular" w:cs="Arial"/>
          <w:spacing w:val="-14"/>
          <w:lang w:val="el-GR"/>
        </w:rPr>
        <w:t xml:space="preserve">% (από </w:t>
      </w:r>
      <w:r w:rsidR="006C1DD3">
        <w:rPr>
          <w:rFonts w:ascii="Ping LCG Regular" w:hAnsi="Ping LCG Regular" w:cs="Arial"/>
          <w:spacing w:val="-14"/>
          <w:lang w:val="el-GR"/>
        </w:rPr>
        <w:t>35</w:t>
      </w:r>
      <w:r w:rsidRPr="009172C6">
        <w:rPr>
          <w:rFonts w:ascii="Ping LCG Regular" w:hAnsi="Ping LCG Regular" w:cs="Arial"/>
          <w:spacing w:val="-14"/>
          <w:lang w:val="el-GR"/>
        </w:rPr>
        <w:t>,</w:t>
      </w:r>
      <w:r w:rsidR="006C1DD3">
        <w:rPr>
          <w:rFonts w:ascii="Ping LCG Regular" w:hAnsi="Ping LCG Regular" w:cs="Arial"/>
          <w:spacing w:val="-14"/>
          <w:lang w:val="el-GR"/>
        </w:rPr>
        <w:t>7</w:t>
      </w:r>
      <w:r w:rsidRPr="009172C6">
        <w:rPr>
          <w:rFonts w:ascii="Ping LCG Regular" w:hAnsi="Ping LCG Regular" w:cs="Arial"/>
          <w:spacing w:val="-14"/>
          <w:lang w:val="el-GR"/>
        </w:rPr>
        <w:t xml:space="preserve">%) στη Μέση Τάση και </w:t>
      </w:r>
      <w:r w:rsidR="002A40B4" w:rsidRPr="009172C6">
        <w:rPr>
          <w:rFonts w:ascii="Ping LCG Regular" w:hAnsi="Ping LCG Regular" w:cs="Arial"/>
          <w:spacing w:val="-14"/>
          <w:lang w:val="el-GR"/>
        </w:rPr>
        <w:t>6</w:t>
      </w:r>
      <w:r w:rsidR="00DB6862">
        <w:rPr>
          <w:rFonts w:ascii="Ping LCG Regular" w:hAnsi="Ping LCG Regular" w:cs="Arial"/>
          <w:spacing w:val="-14"/>
          <w:lang w:val="el-GR"/>
        </w:rPr>
        <w:t>5</w:t>
      </w:r>
      <w:r w:rsidRPr="009172C6">
        <w:rPr>
          <w:rFonts w:ascii="Ping LCG Regular" w:hAnsi="Ping LCG Regular" w:cs="Arial"/>
          <w:spacing w:val="-14"/>
          <w:lang w:val="el-GR"/>
        </w:rPr>
        <w:t xml:space="preserve">% (από </w:t>
      </w:r>
      <w:r w:rsidR="002A40B4" w:rsidRPr="009172C6">
        <w:rPr>
          <w:rFonts w:ascii="Ping LCG Regular" w:hAnsi="Ping LCG Regular" w:cs="Arial"/>
          <w:spacing w:val="-14"/>
          <w:lang w:val="el-GR"/>
        </w:rPr>
        <w:t>69</w:t>
      </w:r>
      <w:r w:rsidRPr="009172C6">
        <w:rPr>
          <w:rFonts w:ascii="Ping LCG Regular" w:hAnsi="Ping LCG Regular" w:cs="Arial"/>
          <w:spacing w:val="-14"/>
          <w:lang w:val="el-GR"/>
        </w:rPr>
        <w:t>%) στη Χαμηλή Τάση.</w:t>
      </w:r>
    </w:p>
    <w:p w14:paraId="39CF8DB3" w14:textId="77777777" w:rsidR="00A249A6" w:rsidRPr="00256E4B" w:rsidRDefault="00A249A6" w:rsidP="00A249A6">
      <w:pPr>
        <w:ind w:firstLine="11"/>
        <w:jc w:val="both"/>
        <w:rPr>
          <w:rFonts w:ascii="Ping LCG Regular" w:hAnsi="Ping LCG Regular" w:cs="Arial"/>
          <w:spacing w:val="-14"/>
          <w:lang w:val="el-GR"/>
        </w:rPr>
      </w:pPr>
    </w:p>
    <w:p w14:paraId="6A7BE1F8" w14:textId="57393909" w:rsidR="00A249A6" w:rsidRPr="002A40B4" w:rsidRDefault="00A249A6" w:rsidP="00A249A6">
      <w:pPr>
        <w:autoSpaceDE w:val="0"/>
        <w:autoSpaceDN w:val="0"/>
        <w:adjustRightInd w:val="0"/>
        <w:jc w:val="both"/>
        <w:rPr>
          <w:rFonts w:ascii="Ping LCG Regular" w:hAnsi="Ping LCG Regular" w:cs="Arial"/>
          <w:spacing w:val="-14"/>
          <w:lang w:val="el-GR"/>
        </w:rPr>
      </w:pPr>
      <w:bookmarkStart w:id="5" w:name="_Hlk88755621"/>
      <w:bookmarkStart w:id="6" w:name="_Hlk68767691"/>
      <w:r w:rsidRPr="00256E4B">
        <w:rPr>
          <w:rFonts w:ascii="Ping LCG Regular" w:hAnsi="Ping LCG Regular" w:cs="Arial"/>
          <w:spacing w:val="-14"/>
          <w:lang w:val="el-GR"/>
        </w:rPr>
        <w:t xml:space="preserve">Η παραγωγή και οι εισαγωγές ηλεκτρικής ενέργειας του Ομίλου ΔΕΗ κάλυψαν το </w:t>
      </w:r>
      <w:r w:rsidR="003A5C3F" w:rsidRPr="00256E4B">
        <w:rPr>
          <w:rFonts w:ascii="Ping LCG Regular" w:hAnsi="Ping LCG Regular" w:cs="Arial"/>
          <w:spacing w:val="-14"/>
          <w:lang w:val="el-GR"/>
        </w:rPr>
        <w:t>4</w:t>
      </w:r>
      <w:r w:rsidR="00EB57BA">
        <w:rPr>
          <w:rFonts w:ascii="Ping LCG Regular" w:hAnsi="Ping LCG Regular" w:cs="Arial"/>
          <w:spacing w:val="-14"/>
          <w:lang w:val="el-GR"/>
        </w:rPr>
        <w:t>3</w:t>
      </w:r>
      <w:r w:rsidRPr="00256E4B">
        <w:rPr>
          <w:rFonts w:ascii="Ping LCG Regular" w:hAnsi="Ping LCG Regular" w:cs="Arial"/>
          <w:spacing w:val="-14"/>
          <w:lang w:val="el-GR"/>
        </w:rPr>
        <w:t>,</w:t>
      </w:r>
      <w:r w:rsidR="002A40B4" w:rsidRPr="00256E4B">
        <w:rPr>
          <w:rFonts w:ascii="Ping LCG Regular" w:hAnsi="Ping LCG Regular" w:cs="Arial"/>
          <w:spacing w:val="-14"/>
          <w:lang w:val="el-GR"/>
        </w:rPr>
        <w:t>7</w:t>
      </w:r>
      <w:r w:rsidRPr="00256E4B">
        <w:rPr>
          <w:rFonts w:ascii="Ping LCG Regular" w:hAnsi="Ping LCG Regular" w:cs="Arial"/>
          <w:spacing w:val="-14"/>
          <w:lang w:val="el-GR"/>
        </w:rPr>
        <w:t>% της συνολικής ζήτησης</w:t>
      </w:r>
      <w:r w:rsidR="003A5C3F" w:rsidRPr="00256E4B">
        <w:rPr>
          <w:rFonts w:ascii="Ping LCG Regular" w:hAnsi="Ping LCG Regular" w:cs="Arial"/>
          <w:spacing w:val="-14"/>
          <w:lang w:val="el-GR"/>
        </w:rPr>
        <w:t xml:space="preserve"> </w:t>
      </w:r>
      <w:r w:rsidRPr="00256E4B">
        <w:rPr>
          <w:rFonts w:ascii="Ping LCG Regular" w:hAnsi="Ping LCG Regular" w:cs="Arial"/>
          <w:spacing w:val="-14"/>
          <w:lang w:val="el-GR"/>
        </w:rPr>
        <w:t>το</w:t>
      </w:r>
      <w:r w:rsidR="00EB57BA">
        <w:rPr>
          <w:rFonts w:ascii="Ping LCG Regular" w:hAnsi="Ping LCG Regular" w:cs="Arial"/>
          <w:spacing w:val="-14"/>
          <w:lang w:val="el-GR"/>
        </w:rPr>
        <w:t xml:space="preserve"> </w:t>
      </w:r>
      <w:r w:rsidR="009261FA" w:rsidRPr="00256E4B">
        <w:rPr>
          <w:rFonts w:ascii="Ping LCG Regular" w:hAnsi="Ping LCG Regular" w:cs="Arial"/>
          <w:spacing w:val="-14"/>
          <w:lang w:val="el-GR"/>
        </w:rPr>
        <w:t xml:space="preserve">2021 </w:t>
      </w:r>
      <w:r w:rsidRPr="00256E4B">
        <w:rPr>
          <w:rFonts w:ascii="Ping LCG Regular" w:hAnsi="Ping LCG Regular" w:cs="Arial"/>
          <w:spacing w:val="-14"/>
          <w:lang w:val="el-GR"/>
        </w:rPr>
        <w:t xml:space="preserve"> (</w:t>
      </w:r>
      <w:r w:rsidR="009261FA" w:rsidRPr="00256E4B">
        <w:rPr>
          <w:rFonts w:ascii="Ping LCG Regular" w:hAnsi="Ping LCG Regular" w:cs="Arial"/>
          <w:spacing w:val="-14"/>
          <w:lang w:val="el-GR"/>
        </w:rPr>
        <w:t>4</w:t>
      </w:r>
      <w:r w:rsidR="00EB57BA">
        <w:rPr>
          <w:rFonts w:ascii="Ping LCG Regular" w:hAnsi="Ping LCG Regular" w:cs="Arial"/>
          <w:spacing w:val="-14"/>
          <w:lang w:val="el-GR"/>
        </w:rPr>
        <w:t>0</w:t>
      </w:r>
      <w:r w:rsidR="002A40B4" w:rsidRPr="00256E4B">
        <w:rPr>
          <w:rFonts w:ascii="Ping LCG Regular" w:hAnsi="Ping LCG Regular" w:cs="Arial"/>
          <w:spacing w:val="-14"/>
          <w:lang w:val="el-GR"/>
        </w:rPr>
        <w:t>,</w:t>
      </w:r>
      <w:r w:rsidR="00EB57BA">
        <w:rPr>
          <w:rFonts w:ascii="Ping LCG Regular" w:hAnsi="Ping LCG Regular" w:cs="Arial"/>
          <w:spacing w:val="-14"/>
          <w:lang w:val="el-GR"/>
        </w:rPr>
        <w:t>3</w:t>
      </w:r>
      <w:r w:rsidRPr="00256E4B">
        <w:rPr>
          <w:rFonts w:ascii="Ping LCG Regular" w:hAnsi="Ping LCG Regular" w:cs="Arial"/>
          <w:spacing w:val="-14"/>
          <w:lang w:val="el-GR"/>
        </w:rPr>
        <w:t>% στο Διασυνδεδεμένο Σύστημα), ενώ το αντίστοιχο ποσοστό το</w:t>
      </w:r>
      <w:r w:rsidR="00EB57BA">
        <w:rPr>
          <w:rFonts w:ascii="Ping LCG Regular" w:hAnsi="Ping LCG Regular" w:cs="Arial"/>
          <w:spacing w:val="-14"/>
          <w:lang w:val="el-GR"/>
        </w:rPr>
        <w:t xml:space="preserve"> </w:t>
      </w:r>
      <w:r w:rsidR="009261FA" w:rsidRPr="00256E4B">
        <w:rPr>
          <w:rFonts w:ascii="Ping LCG Regular" w:hAnsi="Ping LCG Regular" w:cs="Arial"/>
          <w:spacing w:val="-14"/>
          <w:lang w:val="el-GR"/>
        </w:rPr>
        <w:t xml:space="preserve"> </w:t>
      </w:r>
      <w:r w:rsidRPr="00256E4B">
        <w:rPr>
          <w:rFonts w:ascii="Ping LCG Regular" w:hAnsi="Ping LCG Regular" w:cs="Arial"/>
          <w:spacing w:val="-14"/>
          <w:lang w:val="el-GR"/>
        </w:rPr>
        <w:t>20</w:t>
      </w:r>
      <w:r w:rsidR="00192DFD" w:rsidRPr="00256E4B">
        <w:rPr>
          <w:rFonts w:ascii="Ping LCG Regular" w:hAnsi="Ping LCG Regular" w:cs="Arial"/>
          <w:spacing w:val="-14"/>
          <w:lang w:val="el-GR"/>
        </w:rPr>
        <w:t>20</w:t>
      </w:r>
      <w:r w:rsidRPr="00256E4B">
        <w:rPr>
          <w:rFonts w:ascii="Ping LCG Regular" w:hAnsi="Ping LCG Regular" w:cs="Arial"/>
          <w:spacing w:val="-14"/>
          <w:lang w:val="el-GR"/>
        </w:rPr>
        <w:t xml:space="preserve"> ήταν </w:t>
      </w:r>
      <w:r w:rsidR="00EB57BA">
        <w:rPr>
          <w:rFonts w:ascii="Ping LCG Regular" w:hAnsi="Ping LCG Regular" w:cs="Arial"/>
          <w:spacing w:val="-14"/>
          <w:lang w:val="el-GR"/>
        </w:rPr>
        <w:t>40</w:t>
      </w:r>
      <w:r w:rsidRPr="00256E4B">
        <w:rPr>
          <w:rFonts w:ascii="Ping LCG Regular" w:hAnsi="Ping LCG Regular" w:cs="Arial"/>
          <w:spacing w:val="-14"/>
          <w:lang w:val="el-GR"/>
        </w:rPr>
        <w:t>,</w:t>
      </w:r>
      <w:r w:rsidR="00EB57BA">
        <w:rPr>
          <w:rFonts w:ascii="Ping LCG Regular" w:hAnsi="Ping LCG Regular" w:cs="Arial"/>
          <w:spacing w:val="-14"/>
          <w:lang w:val="el-GR"/>
        </w:rPr>
        <w:t>7</w:t>
      </w:r>
      <w:r w:rsidRPr="00256E4B">
        <w:rPr>
          <w:rFonts w:ascii="Ping LCG Regular" w:hAnsi="Ping LCG Regular" w:cs="Arial"/>
          <w:spacing w:val="-14"/>
          <w:lang w:val="el-GR"/>
        </w:rPr>
        <w:t>% (</w:t>
      </w:r>
      <w:r w:rsidR="009261FA" w:rsidRPr="00256E4B">
        <w:rPr>
          <w:rFonts w:ascii="Ping LCG Regular" w:hAnsi="Ping LCG Regular" w:cs="Arial"/>
          <w:spacing w:val="-14"/>
          <w:lang w:val="el-GR"/>
        </w:rPr>
        <w:t>3</w:t>
      </w:r>
      <w:r w:rsidR="00EB57BA">
        <w:rPr>
          <w:rFonts w:ascii="Ping LCG Regular" w:hAnsi="Ping LCG Regular" w:cs="Arial"/>
          <w:spacing w:val="-14"/>
          <w:lang w:val="el-GR"/>
        </w:rPr>
        <w:t>6</w:t>
      </w:r>
      <w:r w:rsidR="002A40B4" w:rsidRPr="00256E4B">
        <w:rPr>
          <w:rFonts w:ascii="Ping LCG Regular" w:hAnsi="Ping LCG Regular" w:cs="Arial"/>
          <w:spacing w:val="-14"/>
          <w:lang w:val="el-GR"/>
        </w:rPr>
        <w:t>,</w:t>
      </w:r>
      <w:r w:rsidR="00EB57BA">
        <w:rPr>
          <w:rFonts w:ascii="Ping LCG Regular" w:hAnsi="Ping LCG Regular" w:cs="Arial"/>
          <w:spacing w:val="-14"/>
          <w:lang w:val="el-GR"/>
        </w:rPr>
        <w:t>9</w:t>
      </w:r>
      <w:r w:rsidRPr="00256E4B">
        <w:rPr>
          <w:rFonts w:ascii="Ping LCG Regular" w:hAnsi="Ping LCG Regular" w:cs="Arial"/>
          <w:spacing w:val="-14"/>
          <w:lang w:val="el-GR"/>
        </w:rPr>
        <w:t>% στο Διασυνδεδεμένο Σύστημα)</w:t>
      </w:r>
      <w:r w:rsidR="00993890" w:rsidRPr="00256E4B">
        <w:rPr>
          <w:rFonts w:ascii="Ping LCG Regular" w:hAnsi="Ping LCG Regular" w:cs="Arial"/>
          <w:spacing w:val="-14"/>
          <w:lang w:val="el-GR"/>
        </w:rPr>
        <w:t>, λόγω της αυξημένης παραγωγής ηλεκτρικής ενέργειας της ΔΕΗ.</w:t>
      </w:r>
    </w:p>
    <w:p w14:paraId="2D98CE0C" w14:textId="25F43626" w:rsidR="00A249A6" w:rsidRPr="00256E4B" w:rsidRDefault="00A249A6" w:rsidP="00A249A6">
      <w:pPr>
        <w:autoSpaceDE w:val="0"/>
        <w:autoSpaceDN w:val="0"/>
        <w:adjustRightInd w:val="0"/>
        <w:jc w:val="both"/>
        <w:rPr>
          <w:rFonts w:ascii="Ping LCG Regular" w:hAnsi="Ping LCG Regular" w:cs="Arial"/>
          <w:spacing w:val="-14"/>
          <w:lang w:val="el-GR"/>
        </w:rPr>
      </w:pPr>
    </w:p>
    <w:p w14:paraId="11A24D54" w14:textId="75C5BDCE" w:rsidR="00993890" w:rsidRPr="00C158D9" w:rsidRDefault="00993890" w:rsidP="00993890">
      <w:pPr>
        <w:autoSpaceDE w:val="0"/>
        <w:autoSpaceDN w:val="0"/>
        <w:adjustRightInd w:val="0"/>
        <w:jc w:val="both"/>
        <w:rPr>
          <w:rFonts w:ascii="Ping LCG Regular" w:hAnsi="Ping LCG Regular" w:cs="Arial"/>
          <w:spacing w:val="-14"/>
          <w:lang w:val="el-GR"/>
        </w:rPr>
      </w:pPr>
      <w:r w:rsidRPr="00256E4B">
        <w:rPr>
          <w:rFonts w:ascii="Ping LCG Regular" w:hAnsi="Ping LCG Regular" w:cs="Arial"/>
          <w:spacing w:val="-14"/>
          <w:lang w:val="el-GR"/>
        </w:rPr>
        <w:t xml:space="preserve">Συγκεκριμένα, η παραγωγή από </w:t>
      </w:r>
      <w:r w:rsidRPr="002356B0">
        <w:rPr>
          <w:rFonts w:ascii="Ping LCG Regular" w:hAnsi="Ping LCG Regular" w:cs="Arial"/>
          <w:spacing w:val="-14"/>
          <w:lang w:val="el-GR"/>
        </w:rPr>
        <w:t xml:space="preserve">υδροηλεκτρικές μονάδες αυξήθηκε κατά </w:t>
      </w:r>
      <w:r w:rsidR="000069F0" w:rsidRPr="002356B0">
        <w:rPr>
          <w:rFonts w:ascii="Ping LCG Regular" w:hAnsi="Ping LCG Regular" w:cs="Arial"/>
          <w:spacing w:val="-14"/>
          <w:lang w:val="el-GR"/>
        </w:rPr>
        <w:t>2</w:t>
      </w:r>
      <w:r w:rsidRPr="002356B0">
        <w:rPr>
          <w:rFonts w:ascii="Ping LCG Regular" w:hAnsi="Ping LCG Regular" w:cs="Arial"/>
          <w:spacing w:val="-14"/>
          <w:lang w:val="el-GR"/>
        </w:rPr>
        <w:t>.</w:t>
      </w:r>
      <w:r w:rsidR="000069F0" w:rsidRPr="002356B0">
        <w:rPr>
          <w:rFonts w:ascii="Ping LCG Regular" w:hAnsi="Ping LCG Regular" w:cs="Arial"/>
          <w:spacing w:val="-14"/>
          <w:lang w:val="el-GR"/>
        </w:rPr>
        <w:t>393</w:t>
      </w:r>
      <w:r w:rsidR="001F6E9C" w:rsidRPr="002356B0">
        <w:rPr>
          <w:rFonts w:ascii="Ping LCG Regular" w:hAnsi="Ping LCG Regular" w:cs="Arial"/>
          <w:spacing w:val="-14"/>
          <w:lang w:val="el-GR"/>
        </w:rPr>
        <w:t>GWh</w:t>
      </w:r>
      <w:r w:rsidRPr="002356B0">
        <w:rPr>
          <w:rFonts w:ascii="Ping LCG Regular" w:hAnsi="Ping LCG Regular" w:cs="Arial"/>
          <w:spacing w:val="-14"/>
          <w:lang w:val="el-GR"/>
        </w:rPr>
        <w:t xml:space="preserve"> </w:t>
      </w:r>
      <w:r w:rsidR="003403A0" w:rsidRPr="002356B0">
        <w:rPr>
          <w:rFonts w:ascii="Ping LCG Regular" w:hAnsi="Ping LCG Regular" w:cs="Arial"/>
          <w:spacing w:val="-14"/>
          <w:lang w:val="el-GR"/>
        </w:rPr>
        <w:t xml:space="preserve">λόγω των μεγαλύτερων ποσοτήτων υδατικών εισροών στους ταμιευτήρες των Υδροηλεκτρικών Σταθμών το  2021  σε σχέση με το 2020  </w:t>
      </w:r>
      <w:r w:rsidR="00414AE3" w:rsidRPr="002356B0">
        <w:rPr>
          <w:rFonts w:ascii="Ping LCG Regular" w:hAnsi="Ping LCG Regular" w:cs="Arial"/>
          <w:spacing w:val="-14"/>
          <w:lang w:val="el-GR"/>
        </w:rPr>
        <w:t>αλλά και λόγω των αυξημένων αναγκών του Συστήματος.</w:t>
      </w:r>
    </w:p>
    <w:p w14:paraId="24CE1903" w14:textId="77777777" w:rsidR="00993890" w:rsidRPr="00C158D9" w:rsidRDefault="00993890" w:rsidP="00A249A6">
      <w:pPr>
        <w:autoSpaceDE w:val="0"/>
        <w:autoSpaceDN w:val="0"/>
        <w:adjustRightInd w:val="0"/>
        <w:jc w:val="both"/>
        <w:rPr>
          <w:rFonts w:ascii="Ping LCG Regular" w:hAnsi="Ping LCG Regular" w:cs="Arial"/>
          <w:spacing w:val="-14"/>
          <w:lang w:val="el-GR"/>
        </w:rPr>
      </w:pPr>
    </w:p>
    <w:p w14:paraId="3D2DE202" w14:textId="017F1079" w:rsidR="005F693A" w:rsidRPr="004A424A" w:rsidRDefault="00993890" w:rsidP="00A249A6">
      <w:pPr>
        <w:autoSpaceDE w:val="0"/>
        <w:autoSpaceDN w:val="0"/>
        <w:adjustRightInd w:val="0"/>
        <w:jc w:val="both"/>
        <w:rPr>
          <w:rFonts w:ascii="Ping LCG Regular" w:hAnsi="Ping LCG Regular" w:cs="Arial"/>
          <w:spacing w:val="-14"/>
          <w:lang w:val="el-GR"/>
        </w:rPr>
      </w:pPr>
      <w:r w:rsidRPr="00C158D9">
        <w:rPr>
          <w:rFonts w:ascii="Ping LCG Regular" w:hAnsi="Ping LCG Regular" w:cs="Arial"/>
          <w:spacing w:val="-14"/>
          <w:lang w:val="el-GR"/>
        </w:rPr>
        <w:t xml:space="preserve">Η παραγωγή από τις μονάδες φυσικού αερίου της ΔΕΗ αυξήθηκε κατά </w:t>
      </w:r>
      <w:r w:rsidR="00887243" w:rsidRPr="00C158D9">
        <w:rPr>
          <w:rFonts w:ascii="Ping LCG Regular" w:hAnsi="Ping LCG Regular" w:cs="Arial"/>
          <w:spacing w:val="-14"/>
          <w:lang w:val="el-GR"/>
        </w:rPr>
        <w:t>2</w:t>
      </w:r>
      <w:r w:rsidR="00024422" w:rsidRPr="00C158D9">
        <w:rPr>
          <w:rFonts w:ascii="Ping LCG Regular" w:hAnsi="Ping LCG Regular" w:cs="Arial"/>
          <w:spacing w:val="-14"/>
          <w:lang w:val="el-GR"/>
        </w:rPr>
        <w:t>.</w:t>
      </w:r>
      <w:r w:rsidR="000069F0">
        <w:rPr>
          <w:rFonts w:ascii="Ping LCG Regular" w:hAnsi="Ping LCG Regular" w:cs="Arial"/>
          <w:spacing w:val="-14"/>
          <w:lang w:val="el-GR"/>
        </w:rPr>
        <w:t>475</w:t>
      </w:r>
      <w:r w:rsidR="00024422" w:rsidRPr="00C158D9">
        <w:rPr>
          <w:rFonts w:ascii="Ping LCG Regular" w:hAnsi="Ping LCG Regular" w:cs="Arial"/>
          <w:spacing w:val="-14"/>
          <w:lang w:val="el-GR"/>
        </w:rPr>
        <w:t xml:space="preserve"> </w:t>
      </w:r>
      <w:proofErr w:type="spellStart"/>
      <w:r w:rsidRPr="00C158D9">
        <w:rPr>
          <w:rFonts w:ascii="Ping LCG Regular" w:hAnsi="Ping LCG Regular" w:cs="Arial"/>
          <w:spacing w:val="-14"/>
          <w:lang w:val="el-GR"/>
        </w:rPr>
        <w:t>GWh</w:t>
      </w:r>
      <w:proofErr w:type="spellEnd"/>
      <w:r w:rsidRPr="00C158D9">
        <w:rPr>
          <w:rFonts w:ascii="Ping LCG Regular" w:hAnsi="Ping LCG Regular" w:cs="Arial"/>
          <w:spacing w:val="-14"/>
          <w:lang w:val="el-GR"/>
        </w:rPr>
        <w:t xml:space="preserve"> ενώ </w:t>
      </w:r>
      <w:r w:rsidR="000069F0">
        <w:rPr>
          <w:rFonts w:ascii="Ping LCG Regular" w:hAnsi="Ping LCG Regular" w:cs="Arial"/>
          <w:spacing w:val="-14"/>
          <w:lang w:val="el-GR"/>
        </w:rPr>
        <w:t>μείωση</w:t>
      </w:r>
      <w:r w:rsidR="00887243" w:rsidRPr="00C158D9">
        <w:rPr>
          <w:rFonts w:ascii="Ping LCG Regular" w:hAnsi="Ping LCG Regular" w:cs="Arial"/>
          <w:spacing w:val="-14"/>
          <w:lang w:val="el-GR"/>
        </w:rPr>
        <w:t xml:space="preserve"> κατά </w:t>
      </w:r>
      <w:r w:rsidR="000069F0">
        <w:rPr>
          <w:rFonts w:ascii="Ping LCG Regular" w:hAnsi="Ping LCG Regular" w:cs="Arial"/>
          <w:spacing w:val="-14"/>
          <w:lang w:val="el-GR"/>
        </w:rPr>
        <w:t>381</w:t>
      </w:r>
      <w:r w:rsidR="00887243" w:rsidRPr="00C158D9">
        <w:rPr>
          <w:rFonts w:ascii="Ping LCG Regular" w:hAnsi="Ping LCG Regular" w:cs="Arial"/>
          <w:spacing w:val="-14"/>
          <w:lang w:val="el-GR"/>
        </w:rPr>
        <w:t xml:space="preserve"> </w:t>
      </w:r>
      <w:proofErr w:type="spellStart"/>
      <w:r w:rsidR="00887243" w:rsidRPr="00C158D9">
        <w:rPr>
          <w:rFonts w:ascii="Ping LCG Regular" w:hAnsi="Ping LCG Regular" w:cs="Arial"/>
          <w:spacing w:val="-14"/>
          <w:lang w:val="el-GR"/>
        </w:rPr>
        <w:t>GWh</w:t>
      </w:r>
      <w:proofErr w:type="spellEnd"/>
      <w:r w:rsidR="00887243" w:rsidRPr="00C158D9">
        <w:rPr>
          <w:rFonts w:ascii="Ping LCG Regular" w:hAnsi="Ping LCG Regular" w:cs="Arial"/>
          <w:spacing w:val="-14"/>
          <w:lang w:val="el-GR"/>
        </w:rPr>
        <w:t xml:space="preserve"> παρουσίασε </w:t>
      </w:r>
      <w:r w:rsidRPr="00C158D9">
        <w:rPr>
          <w:rFonts w:ascii="Ping LCG Regular" w:hAnsi="Ping LCG Regular" w:cs="Arial"/>
          <w:spacing w:val="-14"/>
          <w:lang w:val="el-GR"/>
        </w:rPr>
        <w:t>η</w:t>
      </w:r>
      <w:r w:rsidR="00A249A6" w:rsidRPr="00C158D9">
        <w:rPr>
          <w:rFonts w:ascii="Ping LCG Regular" w:hAnsi="Ping LCG Regular" w:cs="Arial"/>
          <w:spacing w:val="-14"/>
          <w:lang w:val="el-GR"/>
        </w:rPr>
        <w:t xml:space="preserve"> </w:t>
      </w:r>
      <w:proofErr w:type="spellStart"/>
      <w:r w:rsidR="00A249A6" w:rsidRPr="00C158D9">
        <w:rPr>
          <w:rFonts w:ascii="Ping LCG Regular" w:hAnsi="Ping LCG Regular" w:cs="Arial"/>
          <w:spacing w:val="-14"/>
          <w:lang w:val="el-GR"/>
        </w:rPr>
        <w:t>λιγνιτική</w:t>
      </w:r>
      <w:proofErr w:type="spellEnd"/>
      <w:r w:rsidR="00A249A6" w:rsidRPr="00C158D9">
        <w:rPr>
          <w:rFonts w:ascii="Ping LCG Regular" w:hAnsi="Ping LCG Regular" w:cs="Arial"/>
          <w:spacing w:val="-14"/>
          <w:lang w:val="el-GR"/>
        </w:rPr>
        <w:t xml:space="preserve"> παραγωγή</w:t>
      </w:r>
      <w:r w:rsidR="006D08AB">
        <w:rPr>
          <w:rFonts w:ascii="Ping LCG Regular" w:hAnsi="Ping LCG Regular" w:cs="Arial"/>
          <w:spacing w:val="-14"/>
          <w:lang w:val="el-GR"/>
        </w:rPr>
        <w:t>.</w:t>
      </w:r>
      <w:r w:rsidR="00A249A6" w:rsidRPr="00C158D9">
        <w:rPr>
          <w:rFonts w:ascii="Ping LCG Regular" w:hAnsi="Ping LCG Regular" w:cs="Arial"/>
          <w:spacing w:val="-14"/>
          <w:lang w:val="el-GR"/>
        </w:rPr>
        <w:t xml:space="preserve"> </w:t>
      </w:r>
      <w:r w:rsidR="009614FF" w:rsidRPr="00C158D9">
        <w:rPr>
          <w:rFonts w:ascii="Ping LCG Regular" w:hAnsi="Ping LCG Regular" w:cs="Arial"/>
          <w:spacing w:val="-14"/>
          <w:lang w:val="el-GR"/>
        </w:rPr>
        <w:t xml:space="preserve"> </w:t>
      </w:r>
      <w:r w:rsidR="00F76C8B" w:rsidRPr="00C158D9">
        <w:rPr>
          <w:rFonts w:ascii="Ping LCG Regular" w:hAnsi="Ping LCG Regular" w:cs="Arial"/>
          <w:spacing w:val="-14"/>
          <w:lang w:val="el-GR"/>
        </w:rPr>
        <w:t>Στο</w:t>
      </w:r>
      <w:r w:rsidR="009614FF" w:rsidRPr="00C158D9">
        <w:rPr>
          <w:rFonts w:ascii="Ping LCG Regular" w:hAnsi="Ping LCG Regular" w:cs="Arial"/>
          <w:spacing w:val="-14"/>
          <w:lang w:val="el-GR"/>
        </w:rPr>
        <w:t xml:space="preserve"> </w:t>
      </w:r>
      <w:r w:rsidR="000069F0">
        <w:rPr>
          <w:rFonts w:ascii="Ping LCG Regular" w:hAnsi="Ping LCG Regular" w:cs="Arial"/>
          <w:spacing w:val="-14"/>
          <w:lang w:val="el-GR"/>
        </w:rPr>
        <w:t>δ</w:t>
      </w:r>
      <w:r w:rsidR="009614FF" w:rsidRPr="00C158D9">
        <w:rPr>
          <w:rFonts w:ascii="Ping LCG Regular" w:hAnsi="Ping LCG Regular" w:cs="Arial"/>
          <w:spacing w:val="-14"/>
          <w:lang w:val="el-GR"/>
        </w:rPr>
        <w:t xml:space="preserve">’ </w:t>
      </w:r>
      <w:r w:rsidR="007F675C" w:rsidRPr="00C158D9">
        <w:rPr>
          <w:rFonts w:ascii="Ping LCG Regular" w:hAnsi="Ping LCG Regular" w:cs="Arial"/>
          <w:spacing w:val="-14"/>
          <w:lang w:val="el-GR"/>
        </w:rPr>
        <w:t>τρίμηνο</w:t>
      </w:r>
      <w:r w:rsidR="009614FF" w:rsidRPr="00C158D9">
        <w:rPr>
          <w:rFonts w:ascii="Ping LCG Regular" w:hAnsi="Ping LCG Regular" w:cs="Arial"/>
          <w:spacing w:val="-14"/>
          <w:lang w:val="el-GR"/>
        </w:rPr>
        <w:t xml:space="preserve"> 2021</w:t>
      </w:r>
      <w:r w:rsidR="00A437EB" w:rsidRPr="00C158D9">
        <w:rPr>
          <w:rFonts w:ascii="Ping LCG Regular" w:hAnsi="Ping LCG Regular" w:cs="Arial"/>
          <w:spacing w:val="-14"/>
          <w:lang w:val="el-GR"/>
        </w:rPr>
        <w:t xml:space="preserve">, </w:t>
      </w:r>
      <w:r w:rsidR="009614FF" w:rsidRPr="00C158D9">
        <w:rPr>
          <w:rFonts w:ascii="Ping LCG Regular" w:hAnsi="Ping LCG Regular" w:cs="Arial"/>
          <w:spacing w:val="-14"/>
          <w:lang w:val="el-GR"/>
        </w:rPr>
        <w:t xml:space="preserve">η παραγωγή από τις μονάδες φυσικού αερίου της ΔΕΗ αυξήθηκε κατά </w:t>
      </w:r>
      <w:r w:rsidR="000069F0">
        <w:rPr>
          <w:rFonts w:ascii="Ping LCG Regular" w:hAnsi="Ping LCG Regular" w:cs="Arial"/>
          <w:spacing w:val="-14"/>
          <w:lang w:val="el-GR"/>
        </w:rPr>
        <w:t>234</w:t>
      </w:r>
      <w:r w:rsidR="009614FF" w:rsidRPr="00C158D9">
        <w:rPr>
          <w:rFonts w:ascii="Ping LCG Regular" w:hAnsi="Ping LCG Regular" w:cs="Arial"/>
          <w:spacing w:val="-14"/>
          <w:lang w:val="el-GR"/>
        </w:rPr>
        <w:t xml:space="preserve"> </w:t>
      </w:r>
      <w:proofErr w:type="spellStart"/>
      <w:r w:rsidR="009614FF" w:rsidRPr="00C158D9">
        <w:rPr>
          <w:rFonts w:ascii="Ping LCG Regular" w:hAnsi="Ping LCG Regular" w:cs="Arial"/>
          <w:spacing w:val="-14"/>
          <w:lang w:val="el-GR"/>
        </w:rPr>
        <w:t>GWh</w:t>
      </w:r>
      <w:proofErr w:type="spellEnd"/>
      <w:r w:rsidR="000F6CB7" w:rsidRPr="00C158D9">
        <w:rPr>
          <w:rFonts w:ascii="Ping LCG Regular" w:hAnsi="Ping LCG Regular" w:cs="Arial"/>
          <w:spacing w:val="-14"/>
          <w:lang w:val="el-GR"/>
        </w:rPr>
        <w:t xml:space="preserve">. </w:t>
      </w:r>
      <w:r w:rsidR="000069F0">
        <w:rPr>
          <w:rFonts w:ascii="Ping LCG Regular" w:hAnsi="Ping LCG Regular" w:cs="Arial"/>
          <w:spacing w:val="-14"/>
          <w:lang w:val="el-GR"/>
        </w:rPr>
        <w:t>Αντίθετα</w:t>
      </w:r>
      <w:r w:rsidR="007D6914" w:rsidRPr="00C158D9">
        <w:rPr>
          <w:rFonts w:ascii="Ping LCG Regular" w:hAnsi="Ping LCG Regular" w:cs="Arial"/>
          <w:spacing w:val="-14"/>
          <w:lang w:val="el-GR"/>
        </w:rPr>
        <w:t>,</w:t>
      </w:r>
      <w:r w:rsidR="000F6CB7" w:rsidRPr="00C158D9">
        <w:rPr>
          <w:rFonts w:ascii="Ping LCG Regular" w:hAnsi="Ping LCG Regular" w:cs="Arial"/>
          <w:spacing w:val="-14"/>
          <w:lang w:val="el-GR"/>
        </w:rPr>
        <w:t xml:space="preserve"> </w:t>
      </w:r>
      <w:r w:rsidR="009614FF" w:rsidRPr="00C158D9">
        <w:rPr>
          <w:rFonts w:ascii="Ping LCG Regular" w:hAnsi="Ping LCG Regular" w:cs="Arial"/>
          <w:spacing w:val="-14"/>
          <w:lang w:val="el-GR"/>
        </w:rPr>
        <w:t xml:space="preserve">η </w:t>
      </w:r>
      <w:proofErr w:type="spellStart"/>
      <w:r w:rsidR="009614FF" w:rsidRPr="00C158D9">
        <w:rPr>
          <w:rFonts w:ascii="Ping LCG Regular" w:hAnsi="Ping LCG Regular" w:cs="Arial"/>
          <w:spacing w:val="-14"/>
          <w:lang w:val="el-GR"/>
        </w:rPr>
        <w:t>λιγνιτική</w:t>
      </w:r>
      <w:proofErr w:type="spellEnd"/>
      <w:r w:rsidR="009614FF" w:rsidRPr="00C158D9">
        <w:rPr>
          <w:rFonts w:ascii="Ping LCG Regular" w:hAnsi="Ping LCG Regular" w:cs="Arial"/>
          <w:spacing w:val="-14"/>
          <w:lang w:val="el-GR"/>
        </w:rPr>
        <w:t xml:space="preserve"> παραγωγή </w:t>
      </w:r>
      <w:r w:rsidR="000069F0">
        <w:rPr>
          <w:rFonts w:ascii="Ping LCG Regular" w:hAnsi="Ping LCG Regular" w:cs="Arial"/>
          <w:spacing w:val="-14"/>
          <w:lang w:val="el-GR"/>
        </w:rPr>
        <w:t>μειώθηκε</w:t>
      </w:r>
      <w:r w:rsidR="009614FF" w:rsidRPr="00C158D9">
        <w:rPr>
          <w:rFonts w:ascii="Ping LCG Regular" w:hAnsi="Ping LCG Regular" w:cs="Arial"/>
          <w:spacing w:val="-14"/>
          <w:lang w:val="el-GR"/>
        </w:rPr>
        <w:t xml:space="preserve"> κατά </w:t>
      </w:r>
      <w:r w:rsidR="000069F0">
        <w:rPr>
          <w:rFonts w:ascii="Ping LCG Regular" w:hAnsi="Ping LCG Regular" w:cs="Arial"/>
          <w:spacing w:val="-14"/>
          <w:lang w:val="el-GR"/>
        </w:rPr>
        <w:t>656</w:t>
      </w:r>
      <w:r w:rsidR="009614FF" w:rsidRPr="00C158D9">
        <w:rPr>
          <w:rFonts w:ascii="Ping LCG Regular" w:hAnsi="Ping LCG Regular" w:cs="Arial"/>
          <w:spacing w:val="-14"/>
          <w:lang w:val="el-GR"/>
        </w:rPr>
        <w:t xml:space="preserve"> </w:t>
      </w:r>
      <w:proofErr w:type="spellStart"/>
      <w:r w:rsidR="009614FF" w:rsidRPr="00C158D9">
        <w:rPr>
          <w:rFonts w:ascii="Ping LCG Regular" w:hAnsi="Ping LCG Regular" w:cs="Arial"/>
          <w:spacing w:val="-14"/>
          <w:lang w:val="el-GR"/>
        </w:rPr>
        <w:t>GWh</w:t>
      </w:r>
      <w:proofErr w:type="spellEnd"/>
      <w:r w:rsidR="006D08AB">
        <w:rPr>
          <w:rFonts w:ascii="Ping LCG Regular" w:hAnsi="Ping LCG Regular" w:cs="Arial"/>
          <w:spacing w:val="-14"/>
          <w:lang w:val="el-GR"/>
        </w:rPr>
        <w:t>.</w:t>
      </w:r>
      <w:bookmarkEnd w:id="5"/>
    </w:p>
    <w:p w14:paraId="7871DD64" w14:textId="62EDBAD5" w:rsidR="003E14D0" w:rsidRPr="00C158D9" w:rsidRDefault="003E14D0" w:rsidP="00A249A6">
      <w:pPr>
        <w:autoSpaceDE w:val="0"/>
        <w:autoSpaceDN w:val="0"/>
        <w:adjustRightInd w:val="0"/>
        <w:jc w:val="both"/>
        <w:rPr>
          <w:rFonts w:ascii="Ping LCG Regular" w:hAnsi="Ping LCG Regular" w:cs="Arial"/>
          <w:spacing w:val="-14"/>
          <w:lang w:val="el-GR"/>
        </w:rPr>
      </w:pPr>
    </w:p>
    <w:p w14:paraId="55257A0F" w14:textId="229DE7E2" w:rsidR="00731C36" w:rsidRPr="00C158D9" w:rsidRDefault="00731C36" w:rsidP="00A249A6">
      <w:pPr>
        <w:autoSpaceDE w:val="0"/>
        <w:autoSpaceDN w:val="0"/>
        <w:adjustRightInd w:val="0"/>
        <w:jc w:val="both"/>
        <w:rPr>
          <w:rFonts w:ascii="Ping LCG Regular" w:hAnsi="Ping LCG Regular" w:cs="Arial"/>
          <w:spacing w:val="-14"/>
          <w:lang w:val="el-GR"/>
        </w:rPr>
      </w:pPr>
      <w:r w:rsidRPr="00C158D9">
        <w:rPr>
          <w:rFonts w:ascii="Ping LCG Regular" w:hAnsi="Ping LCG Regular" w:cs="Arial"/>
          <w:spacing w:val="-14"/>
          <w:lang w:val="el-GR"/>
        </w:rPr>
        <w:t xml:space="preserve">Σε επίπεδο χώρας, σημειώθηκε άνοδος στην παραγωγή από ΑΠΕ </w:t>
      </w:r>
      <w:r w:rsidR="00013D4F">
        <w:rPr>
          <w:rFonts w:ascii="Ping LCG Regular" w:hAnsi="Ping LCG Regular" w:cs="Arial"/>
          <w:spacing w:val="-14"/>
          <w:lang w:val="el-GR"/>
        </w:rPr>
        <w:t xml:space="preserve">(συμπεριλαμβανομένων και των μεγάλων υδροηλεκτρικών) </w:t>
      </w:r>
      <w:r w:rsidRPr="00C158D9">
        <w:rPr>
          <w:rFonts w:ascii="Ping LCG Regular" w:hAnsi="Ping LCG Regular" w:cs="Arial"/>
          <w:spacing w:val="-14"/>
          <w:lang w:val="el-GR"/>
        </w:rPr>
        <w:t xml:space="preserve">κατά </w:t>
      </w:r>
      <w:r w:rsidR="00013D4F">
        <w:rPr>
          <w:rFonts w:ascii="Ping LCG Regular" w:hAnsi="Ping LCG Regular" w:cs="Arial"/>
          <w:spacing w:val="-14"/>
          <w:lang w:val="el-GR"/>
        </w:rPr>
        <w:t>25,4</w:t>
      </w:r>
      <w:r w:rsidRPr="00C158D9">
        <w:rPr>
          <w:rFonts w:ascii="Ping LCG Regular" w:hAnsi="Ping LCG Regular" w:cs="Arial"/>
          <w:spacing w:val="-14"/>
          <w:lang w:val="el-GR"/>
        </w:rPr>
        <w:t xml:space="preserve">% ή </w:t>
      </w:r>
      <w:r w:rsidR="00013D4F">
        <w:rPr>
          <w:rFonts w:ascii="Ping LCG Regular" w:hAnsi="Ping LCG Regular" w:cs="Arial"/>
          <w:spacing w:val="-14"/>
          <w:lang w:val="el-GR"/>
        </w:rPr>
        <w:t>4</w:t>
      </w:r>
      <w:r w:rsidR="00D133FA">
        <w:rPr>
          <w:rFonts w:ascii="Ping LCG Regular" w:hAnsi="Ping LCG Regular" w:cs="Arial"/>
          <w:spacing w:val="-14"/>
          <w:lang w:val="el-GR"/>
        </w:rPr>
        <w:t>.</w:t>
      </w:r>
      <w:r w:rsidR="00013D4F">
        <w:rPr>
          <w:rFonts w:ascii="Ping LCG Regular" w:hAnsi="Ping LCG Regular" w:cs="Arial"/>
          <w:spacing w:val="-14"/>
          <w:lang w:val="el-GR"/>
        </w:rPr>
        <w:t>515</w:t>
      </w:r>
      <w:r w:rsidR="00024422" w:rsidRPr="00C158D9">
        <w:rPr>
          <w:rFonts w:ascii="Ping LCG Regular" w:hAnsi="Ping LCG Regular" w:cs="Arial"/>
          <w:spacing w:val="-14"/>
          <w:lang w:val="el-GR"/>
        </w:rPr>
        <w:t xml:space="preserve"> </w:t>
      </w:r>
      <w:proofErr w:type="spellStart"/>
      <w:r w:rsidRPr="00C158D9">
        <w:rPr>
          <w:rFonts w:ascii="Ping LCG Regular" w:hAnsi="Ping LCG Regular" w:cs="Arial"/>
          <w:spacing w:val="-14"/>
          <w:lang w:val="el-GR"/>
        </w:rPr>
        <w:t>GWh</w:t>
      </w:r>
      <w:proofErr w:type="spellEnd"/>
      <w:r w:rsidRPr="00C158D9">
        <w:rPr>
          <w:rFonts w:ascii="Ping LCG Regular" w:hAnsi="Ping LCG Regular" w:cs="Arial"/>
          <w:spacing w:val="-14"/>
          <w:lang w:val="el-GR"/>
        </w:rPr>
        <w:t xml:space="preserve">. Επίσης, οι εισαγωγές  ηλεκτρικής ενέργειας  μειώθηκαν κατά </w:t>
      </w:r>
      <w:r w:rsidR="00024422" w:rsidRPr="00C158D9">
        <w:rPr>
          <w:rFonts w:ascii="Ping LCG Regular" w:hAnsi="Ping LCG Regular" w:cs="Arial"/>
          <w:spacing w:val="-14"/>
          <w:lang w:val="el-GR"/>
        </w:rPr>
        <w:t>2</w:t>
      </w:r>
      <w:r w:rsidR="00D133FA">
        <w:rPr>
          <w:rFonts w:ascii="Ping LCG Regular" w:hAnsi="Ping LCG Regular" w:cs="Arial"/>
          <w:spacing w:val="-14"/>
          <w:lang w:val="el-GR"/>
        </w:rPr>
        <w:t>1</w:t>
      </w:r>
      <w:r w:rsidRPr="00C158D9">
        <w:rPr>
          <w:rFonts w:ascii="Ping LCG Regular" w:hAnsi="Ping LCG Regular" w:cs="Arial"/>
          <w:spacing w:val="-14"/>
          <w:lang w:val="el-GR"/>
        </w:rPr>
        <w:t>,</w:t>
      </w:r>
      <w:r w:rsidR="00D133FA">
        <w:rPr>
          <w:rFonts w:ascii="Ping LCG Regular" w:hAnsi="Ping LCG Regular" w:cs="Arial"/>
          <w:spacing w:val="-14"/>
          <w:lang w:val="el-GR"/>
        </w:rPr>
        <w:t>4</w:t>
      </w:r>
      <w:r w:rsidRPr="00C158D9">
        <w:rPr>
          <w:rFonts w:ascii="Ping LCG Regular" w:hAnsi="Ping LCG Regular" w:cs="Arial"/>
          <w:spacing w:val="-14"/>
          <w:lang w:val="el-GR"/>
        </w:rPr>
        <w:t xml:space="preserve">% ή </w:t>
      </w:r>
      <w:r w:rsidR="00887243" w:rsidRPr="00C158D9">
        <w:rPr>
          <w:rFonts w:ascii="Ping LCG Regular" w:hAnsi="Ping LCG Regular" w:cs="Arial"/>
          <w:spacing w:val="-14"/>
          <w:lang w:val="el-GR"/>
        </w:rPr>
        <w:t>2</w:t>
      </w:r>
      <w:r w:rsidRPr="00C158D9">
        <w:rPr>
          <w:rFonts w:ascii="Ping LCG Regular" w:hAnsi="Ping LCG Regular" w:cs="Arial"/>
          <w:spacing w:val="-14"/>
          <w:lang w:val="el-GR"/>
        </w:rPr>
        <w:t>.</w:t>
      </w:r>
      <w:r w:rsidR="00D133FA">
        <w:rPr>
          <w:rFonts w:ascii="Ping LCG Regular" w:hAnsi="Ping LCG Regular" w:cs="Arial"/>
          <w:spacing w:val="-14"/>
          <w:lang w:val="el-GR"/>
        </w:rPr>
        <w:t>284</w:t>
      </w:r>
      <w:r w:rsidR="00024422" w:rsidRPr="00C158D9">
        <w:rPr>
          <w:rFonts w:ascii="Ping LCG Regular" w:hAnsi="Ping LCG Regular" w:cs="Arial"/>
          <w:spacing w:val="-14"/>
          <w:lang w:val="el-GR"/>
        </w:rPr>
        <w:t xml:space="preserve"> </w:t>
      </w:r>
      <w:proofErr w:type="spellStart"/>
      <w:r w:rsidRPr="00C158D9">
        <w:rPr>
          <w:rFonts w:ascii="Ping LCG Regular" w:hAnsi="Ping LCG Regular" w:cs="Arial"/>
          <w:spacing w:val="-14"/>
          <w:lang w:val="el-GR"/>
        </w:rPr>
        <w:t>GWh</w:t>
      </w:r>
      <w:proofErr w:type="spellEnd"/>
      <w:r w:rsidRPr="00C158D9">
        <w:rPr>
          <w:rFonts w:ascii="Ping LCG Regular" w:hAnsi="Ping LCG Regular" w:cs="Arial"/>
          <w:spacing w:val="-14"/>
          <w:lang w:val="el-GR"/>
        </w:rPr>
        <w:t>.</w:t>
      </w:r>
    </w:p>
    <w:p w14:paraId="49A696DB" w14:textId="760F9DD8" w:rsidR="003954AE" w:rsidRPr="00C158D9" w:rsidRDefault="00A249A6" w:rsidP="003954AE">
      <w:pPr>
        <w:autoSpaceDE w:val="0"/>
        <w:autoSpaceDN w:val="0"/>
        <w:adjustRightInd w:val="0"/>
        <w:jc w:val="both"/>
        <w:rPr>
          <w:rFonts w:ascii="Ping LCG Regular" w:hAnsi="Ping LCG Regular" w:cs="Arial"/>
          <w:spacing w:val="-14"/>
          <w:lang w:val="el-GR"/>
        </w:rPr>
      </w:pPr>
      <w:r w:rsidRPr="00C158D9">
        <w:rPr>
          <w:rFonts w:ascii="Ping LCG Regular" w:hAnsi="Ping LCG Regular" w:cs="Arial"/>
          <w:spacing w:val="-14"/>
          <w:lang w:val="el-GR"/>
        </w:rPr>
        <w:t xml:space="preserve">  </w:t>
      </w:r>
      <w:r w:rsidR="00645748" w:rsidRPr="00C158D9">
        <w:rPr>
          <w:rFonts w:ascii="Ping LCG Regular" w:hAnsi="Ping LCG Regular" w:cs="Arial"/>
          <w:spacing w:val="-14"/>
          <w:lang w:val="el-GR"/>
        </w:rPr>
        <w:t xml:space="preserve"> </w:t>
      </w:r>
    </w:p>
    <w:bookmarkEnd w:id="3"/>
    <w:p w14:paraId="0FDA6A9E" w14:textId="16F6194A" w:rsidR="00A249A6" w:rsidRPr="00C158D9" w:rsidRDefault="00A249A6" w:rsidP="00A249A6">
      <w:pPr>
        <w:autoSpaceDE w:val="0"/>
        <w:autoSpaceDN w:val="0"/>
        <w:jc w:val="both"/>
        <w:rPr>
          <w:rFonts w:ascii="Ping LCG Regular" w:hAnsi="Ping LCG Regular" w:cs="Arial"/>
          <w:spacing w:val="-14"/>
          <w:lang w:val="el-GR"/>
        </w:rPr>
      </w:pPr>
    </w:p>
    <w:bookmarkEnd w:id="6"/>
    <w:p w14:paraId="297DD95B" w14:textId="77777777" w:rsidR="00A249A6" w:rsidRPr="00C158D9" w:rsidRDefault="00A249A6" w:rsidP="00A249A6">
      <w:pPr>
        <w:widowControl w:val="0"/>
        <w:autoSpaceDE w:val="0"/>
        <w:autoSpaceDN w:val="0"/>
        <w:adjustRightInd w:val="0"/>
        <w:ind w:left="1" w:right="18"/>
        <w:rPr>
          <w:rFonts w:ascii="Ping LCG Regular" w:hAnsi="Ping LCG Regular" w:cs="Arial"/>
          <w:spacing w:val="-14"/>
          <w:sz w:val="22"/>
          <w:lang w:val="el-GR"/>
        </w:rPr>
      </w:pPr>
      <w:r w:rsidRPr="00C158D9">
        <w:rPr>
          <w:rFonts w:ascii="Ping LCG Regular" w:hAnsi="Ping LCG Regular" w:cs="Arial"/>
          <w:bCs/>
          <w:spacing w:val="-14"/>
          <w:szCs w:val="26"/>
          <w:u w:val="single"/>
          <w:lang w:val="el-GR"/>
        </w:rPr>
        <w:t>Δαπάνες Ενεργειακού Μείγματος</w:t>
      </w:r>
      <w:r w:rsidRPr="00C158D9" w:rsidDel="002974C9">
        <w:rPr>
          <w:rFonts w:ascii="Ping LCG Regular" w:hAnsi="Ping LCG Regular" w:cs="Arial"/>
          <w:spacing w:val="-14"/>
          <w:sz w:val="22"/>
          <w:lang w:val="el-GR"/>
        </w:rPr>
        <w:t xml:space="preserve"> </w:t>
      </w:r>
    </w:p>
    <w:p w14:paraId="5C083892" w14:textId="77777777" w:rsidR="00A249A6" w:rsidRPr="00C158D9" w:rsidRDefault="00A249A6" w:rsidP="00A249A6">
      <w:pPr>
        <w:widowControl w:val="0"/>
        <w:autoSpaceDE w:val="0"/>
        <w:autoSpaceDN w:val="0"/>
        <w:adjustRightInd w:val="0"/>
        <w:ind w:left="19" w:right="7574"/>
        <w:rPr>
          <w:rFonts w:ascii="Ping LCG Regular" w:hAnsi="Ping LCG Regular" w:cs="Arial"/>
          <w:spacing w:val="-14"/>
          <w:highlight w:val="yellow"/>
          <w:lang w:val="el-GR"/>
        </w:rPr>
      </w:pPr>
    </w:p>
    <w:p w14:paraId="426F21F0" w14:textId="3706EBC2" w:rsidR="00A249A6" w:rsidRPr="008B2FFE" w:rsidRDefault="00A249A6" w:rsidP="00A249A6">
      <w:pPr>
        <w:widowControl w:val="0"/>
        <w:autoSpaceDE w:val="0"/>
        <w:autoSpaceDN w:val="0"/>
        <w:adjustRightInd w:val="0"/>
        <w:ind w:left="1" w:right="21"/>
        <w:jc w:val="both"/>
        <w:rPr>
          <w:rFonts w:ascii="Ping LCG Regular" w:hAnsi="Ping LCG Regular" w:cs="Arial"/>
          <w:spacing w:val="-14"/>
          <w:lang w:val="el-GR"/>
        </w:rPr>
      </w:pPr>
      <w:r w:rsidRPr="008B2FFE">
        <w:rPr>
          <w:rFonts w:ascii="Ping LCG Regular" w:hAnsi="Ping LCG Regular" w:cs="Arial"/>
          <w:spacing w:val="-14"/>
          <w:lang w:val="el-GR"/>
        </w:rPr>
        <w:t xml:space="preserve">Οι δαπάνες για υγρά καύσιμα, φυσικό αέριο, στερεά καύσιμα </w:t>
      </w:r>
      <w:r w:rsidR="0030398C" w:rsidRPr="008B2FFE">
        <w:rPr>
          <w:rFonts w:ascii="Ping LCG Regular" w:hAnsi="Ping LCG Regular" w:cs="Arial"/>
          <w:spacing w:val="-14"/>
          <w:lang w:val="el-GR"/>
        </w:rPr>
        <w:t xml:space="preserve">ΔΕΗ &amp; </w:t>
      </w:r>
      <w:r w:rsidRPr="008B2FFE">
        <w:rPr>
          <w:rFonts w:ascii="Ping LCG Regular" w:hAnsi="Ping LCG Regular" w:cs="Arial"/>
          <w:spacing w:val="-14"/>
          <w:lang w:val="el-GR"/>
        </w:rPr>
        <w:t xml:space="preserve">τρίτων, </w:t>
      </w:r>
      <w:r w:rsidRPr="008B2FFE">
        <w:rPr>
          <w:rFonts w:ascii="Ping LCG Regular" w:hAnsi="Ping LCG Regular" w:cs="Arial"/>
          <w:spacing w:val="-14"/>
        </w:rPr>
        <w:t>CO</w:t>
      </w:r>
      <w:r w:rsidRPr="008B2FFE">
        <w:rPr>
          <w:rFonts w:ascii="Ping LCG Regular" w:hAnsi="Ping LCG Regular" w:cs="Arial"/>
          <w:spacing w:val="-14"/>
          <w:vertAlign w:val="subscript"/>
          <w:lang w:val="el-GR"/>
        </w:rPr>
        <w:t>2</w:t>
      </w:r>
      <w:r w:rsidRPr="008B2FFE">
        <w:rPr>
          <w:rFonts w:ascii="Ping LCG Regular" w:hAnsi="Ping LCG Regular" w:cs="Arial"/>
          <w:spacing w:val="-14"/>
          <w:lang w:val="el-GR"/>
        </w:rPr>
        <w:t xml:space="preserve"> </w:t>
      </w:r>
      <w:r w:rsidR="00410FF8" w:rsidRPr="008B2FFE">
        <w:rPr>
          <w:rFonts w:ascii="Ping LCG Regular" w:hAnsi="Ping LCG Regular" w:cs="Arial"/>
          <w:spacing w:val="-14"/>
          <w:lang w:val="el-GR"/>
        </w:rPr>
        <w:t xml:space="preserve">και </w:t>
      </w:r>
      <w:r w:rsidRPr="008B2FFE">
        <w:rPr>
          <w:rFonts w:ascii="Ping LCG Regular" w:hAnsi="Ping LCG Regular" w:cs="Arial"/>
          <w:spacing w:val="-14"/>
          <w:lang w:val="el-GR"/>
        </w:rPr>
        <w:t xml:space="preserve">αγορές ηλεκτρικής ενέργειας </w:t>
      </w:r>
      <w:r w:rsidR="00DC5C16" w:rsidRPr="008B2FFE">
        <w:rPr>
          <w:rFonts w:ascii="Ping LCG Regular" w:hAnsi="Ping LCG Regular" w:cs="Arial"/>
          <w:spacing w:val="-14"/>
          <w:lang w:val="el-GR"/>
        </w:rPr>
        <w:t>αυξήθηκαν</w:t>
      </w:r>
      <w:r w:rsidRPr="008B2FFE">
        <w:rPr>
          <w:rFonts w:ascii="Ping LCG Regular" w:hAnsi="Ping LCG Regular" w:cs="Arial"/>
          <w:spacing w:val="-14"/>
          <w:lang w:val="el-GR"/>
        </w:rPr>
        <w:t xml:space="preserve"> κατά €</w:t>
      </w:r>
      <w:r w:rsidR="008B2FFE" w:rsidRPr="008B2FFE">
        <w:rPr>
          <w:rFonts w:ascii="Ping LCG Regular" w:hAnsi="Ping LCG Regular" w:cs="Arial"/>
          <w:spacing w:val="-14"/>
          <w:lang w:val="el-GR"/>
        </w:rPr>
        <w:t>1.1</w:t>
      </w:r>
      <w:r w:rsidR="005C09BA">
        <w:rPr>
          <w:rFonts w:ascii="Ping LCG Regular" w:hAnsi="Ping LCG Regular" w:cs="Arial"/>
          <w:spacing w:val="-14"/>
          <w:lang w:val="el-GR"/>
        </w:rPr>
        <w:t>52</w:t>
      </w:r>
      <w:r w:rsidR="008B2FFE" w:rsidRPr="008B2FFE">
        <w:rPr>
          <w:rFonts w:ascii="Ping LCG Regular" w:hAnsi="Ping LCG Regular" w:cs="Arial"/>
          <w:spacing w:val="-14"/>
          <w:lang w:val="el-GR"/>
        </w:rPr>
        <w:t>,</w:t>
      </w:r>
      <w:r w:rsidR="005C09BA">
        <w:rPr>
          <w:rFonts w:ascii="Ping LCG Regular" w:hAnsi="Ping LCG Regular" w:cs="Arial"/>
          <w:spacing w:val="-14"/>
          <w:lang w:val="el-GR"/>
        </w:rPr>
        <w:t>8</w:t>
      </w:r>
      <w:r w:rsidRPr="008B2FFE">
        <w:rPr>
          <w:rFonts w:ascii="Ping LCG Regular" w:hAnsi="Ping LCG Regular" w:cs="Arial"/>
          <w:spacing w:val="-14"/>
        </w:rPr>
        <w:t> </w:t>
      </w:r>
      <w:r w:rsidRPr="008B2FFE">
        <w:rPr>
          <w:rFonts w:ascii="Ping LCG Regular" w:hAnsi="Ping LCG Regular" w:cs="Arial"/>
          <w:spacing w:val="-14"/>
          <w:lang w:val="el-GR"/>
        </w:rPr>
        <w:t>εκατ. (</w:t>
      </w:r>
      <w:r w:rsidR="005C09BA">
        <w:rPr>
          <w:rFonts w:ascii="Ping LCG Regular" w:hAnsi="Ping LCG Regular" w:cs="Arial"/>
          <w:spacing w:val="-14"/>
          <w:lang w:val="el-GR"/>
        </w:rPr>
        <w:t>49</w:t>
      </w:r>
      <w:r w:rsidR="00DF1A40" w:rsidRPr="008B2FFE">
        <w:rPr>
          <w:rFonts w:ascii="Ping LCG Regular" w:hAnsi="Ping LCG Regular" w:cs="Arial"/>
          <w:spacing w:val="-14"/>
          <w:lang w:val="el-GR"/>
        </w:rPr>
        <w:t>,</w:t>
      </w:r>
      <w:r w:rsidR="005C09BA">
        <w:rPr>
          <w:rFonts w:ascii="Ping LCG Regular" w:hAnsi="Ping LCG Regular" w:cs="Arial"/>
          <w:spacing w:val="-14"/>
          <w:lang w:val="el-GR"/>
        </w:rPr>
        <w:t>7</w:t>
      </w:r>
      <w:r w:rsidRPr="008B2FFE">
        <w:rPr>
          <w:rFonts w:ascii="Ping LCG Regular" w:hAnsi="Ping LCG Regular" w:cs="Arial"/>
          <w:spacing w:val="-14"/>
          <w:lang w:val="el-GR"/>
        </w:rPr>
        <w:t xml:space="preserve">%) σε σχέση με το </w:t>
      </w:r>
      <w:r w:rsidR="00F9037B" w:rsidRPr="008B2FFE">
        <w:rPr>
          <w:rFonts w:ascii="Ping LCG Regular" w:hAnsi="Ping LCG Regular" w:cs="Arial"/>
          <w:spacing w:val="-14"/>
          <w:lang w:val="el-GR"/>
        </w:rPr>
        <w:t xml:space="preserve">2020 </w:t>
      </w:r>
      <w:r w:rsidRPr="008B2FFE">
        <w:rPr>
          <w:rFonts w:ascii="Ping LCG Regular" w:hAnsi="Ping LCG Regular" w:cs="Arial"/>
          <w:spacing w:val="-14"/>
          <w:lang w:val="el-GR"/>
        </w:rPr>
        <w:t xml:space="preserve">. </w:t>
      </w:r>
      <w:r w:rsidR="00763E88" w:rsidRPr="008B2FFE">
        <w:rPr>
          <w:rFonts w:ascii="Ping LCG Regular" w:hAnsi="Ping LCG Regular" w:cs="Arial"/>
          <w:spacing w:val="-14"/>
          <w:lang w:val="el-GR"/>
        </w:rPr>
        <w:t xml:space="preserve"> </w:t>
      </w:r>
    </w:p>
    <w:p w14:paraId="3C75D96B" w14:textId="77777777" w:rsidR="00A249A6" w:rsidRPr="008B2FFE" w:rsidRDefault="00A249A6" w:rsidP="00A249A6">
      <w:pPr>
        <w:widowControl w:val="0"/>
        <w:autoSpaceDE w:val="0"/>
        <w:autoSpaceDN w:val="0"/>
        <w:adjustRightInd w:val="0"/>
        <w:ind w:left="284" w:right="21"/>
        <w:jc w:val="both"/>
        <w:rPr>
          <w:rFonts w:ascii="Ping LCG Regular" w:hAnsi="Ping LCG Regular" w:cs="Arial"/>
          <w:spacing w:val="-14"/>
          <w:lang w:val="el-GR"/>
        </w:rPr>
      </w:pPr>
    </w:p>
    <w:p w14:paraId="1022A08F" w14:textId="30799A1B" w:rsidR="00A249A6" w:rsidRPr="00B9317E" w:rsidRDefault="00A249A6" w:rsidP="00A249A6">
      <w:pPr>
        <w:widowControl w:val="0"/>
        <w:autoSpaceDE w:val="0"/>
        <w:autoSpaceDN w:val="0"/>
        <w:adjustRightInd w:val="0"/>
        <w:ind w:right="21"/>
        <w:jc w:val="both"/>
        <w:rPr>
          <w:rFonts w:ascii="Ping LCG Regular" w:hAnsi="Ping LCG Regular" w:cs="Arial"/>
          <w:spacing w:val="-14"/>
          <w:lang w:val="el-GR"/>
        </w:rPr>
      </w:pPr>
      <w:r w:rsidRPr="00B9317E">
        <w:rPr>
          <w:rFonts w:ascii="Ping LCG Regular" w:hAnsi="Ping LCG Regular" w:cs="Arial"/>
          <w:spacing w:val="-14"/>
          <w:lang w:val="el-GR"/>
        </w:rPr>
        <w:t>Συγκεκριμένα:</w:t>
      </w:r>
    </w:p>
    <w:p w14:paraId="4419C5D1" w14:textId="77777777" w:rsidR="00BD47B5" w:rsidRPr="00B9317E" w:rsidRDefault="00BD47B5" w:rsidP="00A249A6">
      <w:pPr>
        <w:widowControl w:val="0"/>
        <w:autoSpaceDE w:val="0"/>
        <w:autoSpaceDN w:val="0"/>
        <w:adjustRightInd w:val="0"/>
        <w:ind w:right="21"/>
        <w:jc w:val="both"/>
        <w:rPr>
          <w:rFonts w:ascii="Ping LCG Regular" w:hAnsi="Ping LCG Regular" w:cs="Arial"/>
          <w:spacing w:val="-14"/>
          <w:lang w:val="el-GR"/>
        </w:rPr>
      </w:pPr>
    </w:p>
    <w:p w14:paraId="1B765AC1" w14:textId="770937E2" w:rsidR="00A249A6" w:rsidRPr="00637252" w:rsidRDefault="00A249A6" w:rsidP="006C2EBB">
      <w:pPr>
        <w:pStyle w:val="af1"/>
        <w:numPr>
          <w:ilvl w:val="0"/>
          <w:numId w:val="9"/>
        </w:numPr>
        <w:ind w:left="284" w:hanging="142"/>
        <w:jc w:val="both"/>
        <w:rPr>
          <w:rFonts w:ascii="Ping LCG Regular" w:hAnsi="Ping LCG Regular" w:cs="Arial"/>
          <w:spacing w:val="-14"/>
        </w:rPr>
      </w:pPr>
      <w:r w:rsidRPr="00B9317E">
        <w:rPr>
          <w:rFonts w:ascii="Ping LCG Regular" w:hAnsi="Ping LCG Regular" w:cs="Arial"/>
          <w:spacing w:val="-14"/>
        </w:rPr>
        <w:t xml:space="preserve">Η δαπάνη για υγρά καύσιμα </w:t>
      </w:r>
      <w:r w:rsidR="00333219" w:rsidRPr="00B9317E">
        <w:rPr>
          <w:rFonts w:ascii="Ping LCG Regular" w:hAnsi="Ping LCG Regular" w:cs="Arial"/>
          <w:spacing w:val="-14"/>
        </w:rPr>
        <w:t>το 2021 αυξήθηκε κατά 1</w:t>
      </w:r>
      <w:r w:rsidR="00EC6207" w:rsidRPr="00B9317E">
        <w:rPr>
          <w:rFonts w:ascii="Ping LCG Regular" w:hAnsi="Ping LCG Regular" w:cs="Arial"/>
          <w:spacing w:val="-14"/>
        </w:rPr>
        <w:t>6</w:t>
      </w:r>
      <w:r w:rsidR="00333219" w:rsidRPr="00B9317E">
        <w:rPr>
          <w:rFonts w:ascii="Ping LCG Regular" w:hAnsi="Ping LCG Regular" w:cs="Arial"/>
          <w:spacing w:val="-14"/>
        </w:rPr>
        <w:t>,</w:t>
      </w:r>
      <w:r w:rsidR="00EC6207" w:rsidRPr="00B9317E">
        <w:rPr>
          <w:rFonts w:ascii="Ping LCG Regular" w:hAnsi="Ping LCG Regular" w:cs="Arial"/>
          <w:spacing w:val="-14"/>
        </w:rPr>
        <w:t>1</w:t>
      </w:r>
      <w:r w:rsidR="00333219" w:rsidRPr="00B9317E">
        <w:rPr>
          <w:rFonts w:ascii="Ping LCG Regular" w:hAnsi="Ping LCG Regular" w:cs="Arial"/>
          <w:spacing w:val="-14"/>
        </w:rPr>
        <w:t xml:space="preserve">% </w:t>
      </w:r>
      <w:r w:rsidR="00EC6207" w:rsidRPr="00B9317E">
        <w:rPr>
          <w:rFonts w:ascii="Ping LCG Regular" w:hAnsi="Ping LCG Regular" w:cs="Arial"/>
          <w:spacing w:val="-14"/>
        </w:rPr>
        <w:t>σε σχέση με το 2020</w:t>
      </w:r>
      <w:r w:rsidR="005F0D2E" w:rsidRPr="00445582">
        <w:rPr>
          <w:rFonts w:ascii="Ping LCG Regular" w:hAnsi="Ping LCG Regular" w:cs="Arial"/>
          <w:spacing w:val="-14"/>
        </w:rPr>
        <w:t xml:space="preserve"> </w:t>
      </w:r>
      <w:r w:rsidR="00333219" w:rsidRPr="00B9317E">
        <w:rPr>
          <w:rFonts w:ascii="Ping LCG Regular" w:hAnsi="Ping LCG Regular" w:cs="Arial"/>
          <w:spacing w:val="-14"/>
        </w:rPr>
        <w:t>στα €</w:t>
      </w:r>
      <w:r w:rsidR="00EC6207" w:rsidRPr="00B9317E">
        <w:rPr>
          <w:rFonts w:ascii="Ping LCG Regular" w:hAnsi="Ping LCG Regular" w:cs="Arial"/>
          <w:spacing w:val="-14"/>
        </w:rPr>
        <w:t>537</w:t>
      </w:r>
      <w:r w:rsidR="00333219" w:rsidRPr="00B9317E">
        <w:rPr>
          <w:rFonts w:ascii="Ping LCG Regular" w:hAnsi="Ping LCG Regular" w:cs="Arial"/>
          <w:spacing w:val="-14"/>
        </w:rPr>
        <w:t xml:space="preserve"> </w:t>
      </w:r>
      <w:r w:rsidRPr="00B9317E">
        <w:rPr>
          <w:rFonts w:ascii="Ping LCG Regular" w:hAnsi="Ping LCG Regular" w:cs="Arial"/>
          <w:spacing w:val="-14"/>
        </w:rPr>
        <w:t>εκατ.</w:t>
      </w:r>
      <w:r w:rsidR="00D95CA6" w:rsidRPr="00B9317E">
        <w:rPr>
          <w:rFonts w:ascii="Ping LCG Regular" w:hAnsi="Ping LCG Regular" w:cs="Arial"/>
          <w:spacing w:val="-14"/>
        </w:rPr>
        <w:t xml:space="preserve">, </w:t>
      </w:r>
      <w:r w:rsidR="00333219" w:rsidRPr="00B9317E">
        <w:rPr>
          <w:rFonts w:ascii="Ping LCG Regular" w:hAnsi="Ping LCG Regular" w:cs="Arial"/>
          <w:spacing w:val="-14"/>
        </w:rPr>
        <w:t xml:space="preserve">λόγω της αύξησης των τιμών του μαζούτ (κατά </w:t>
      </w:r>
      <w:r w:rsidR="006D696A" w:rsidRPr="00B9317E">
        <w:rPr>
          <w:rFonts w:ascii="Ping LCG Regular" w:hAnsi="Ping LCG Regular" w:cs="Arial"/>
          <w:spacing w:val="-14"/>
        </w:rPr>
        <w:t>18,1</w:t>
      </w:r>
      <w:r w:rsidR="00EC6207" w:rsidRPr="00B9317E">
        <w:rPr>
          <w:rFonts w:ascii="Ping LCG Regular" w:hAnsi="Ping LCG Regular" w:cs="Arial"/>
          <w:spacing w:val="-14"/>
        </w:rPr>
        <w:t>%)</w:t>
      </w:r>
      <w:r w:rsidR="00333219" w:rsidRPr="00B9317E">
        <w:rPr>
          <w:rFonts w:ascii="Ping LCG Regular" w:hAnsi="Ping LCG Regular" w:cs="Arial"/>
          <w:spacing w:val="-14"/>
        </w:rPr>
        <w:t xml:space="preserve"> και του </w:t>
      </w:r>
      <w:r w:rsidR="00333219" w:rsidRPr="00B9317E">
        <w:rPr>
          <w:rFonts w:ascii="Ping LCG Regular" w:hAnsi="Ping LCG Regular" w:cs="Arial"/>
          <w:spacing w:val="-14"/>
          <w:lang w:val="en-US"/>
        </w:rPr>
        <w:t>diesel</w:t>
      </w:r>
      <w:r w:rsidR="00333219" w:rsidRPr="00B9317E">
        <w:rPr>
          <w:rFonts w:ascii="Ping LCG Regular" w:hAnsi="Ping LCG Regular" w:cs="Arial"/>
          <w:spacing w:val="-14"/>
        </w:rPr>
        <w:t xml:space="preserve"> (κατά </w:t>
      </w:r>
      <w:r w:rsidR="006D696A" w:rsidRPr="00B9317E">
        <w:rPr>
          <w:rFonts w:ascii="Ping LCG Regular" w:hAnsi="Ping LCG Regular" w:cs="Arial"/>
          <w:spacing w:val="-14"/>
        </w:rPr>
        <w:t>11,9</w:t>
      </w:r>
      <w:r w:rsidR="00333219" w:rsidRPr="00B9317E">
        <w:rPr>
          <w:rFonts w:ascii="Ping LCG Regular" w:hAnsi="Ping LCG Regular" w:cs="Arial"/>
          <w:spacing w:val="-14"/>
        </w:rPr>
        <w:t>%)</w:t>
      </w:r>
      <w:r w:rsidR="0083205C" w:rsidRPr="00B9317E">
        <w:rPr>
          <w:rFonts w:ascii="Ping LCG Regular" w:hAnsi="Ping LCG Regular" w:cs="Arial"/>
          <w:spacing w:val="-14"/>
        </w:rPr>
        <w:t xml:space="preserve"> αλλά και της αυξημένης παραγωγής</w:t>
      </w:r>
      <w:r w:rsidR="00E05FB0" w:rsidRPr="00B9317E">
        <w:rPr>
          <w:rFonts w:ascii="Ping LCG Regular" w:hAnsi="Ping LCG Regular" w:cs="Arial"/>
          <w:spacing w:val="-14"/>
        </w:rPr>
        <w:t xml:space="preserve"> από υγρά καύσιμα</w:t>
      </w:r>
      <w:r w:rsidR="00D95CA6" w:rsidRPr="00B9317E">
        <w:rPr>
          <w:rFonts w:ascii="Ping LCG Regular" w:hAnsi="Ping LCG Regular" w:cs="Arial"/>
          <w:spacing w:val="-14"/>
        </w:rPr>
        <w:t>.</w:t>
      </w:r>
      <w:r w:rsidR="009614FF" w:rsidRPr="00B9317E">
        <w:rPr>
          <w:rFonts w:ascii="Ping LCG Regular" w:hAnsi="Ping LCG Regular" w:cs="Arial"/>
          <w:spacing w:val="-14"/>
        </w:rPr>
        <w:t xml:space="preserve"> </w:t>
      </w:r>
      <w:r w:rsidR="009614FF" w:rsidRPr="00637252">
        <w:rPr>
          <w:rFonts w:ascii="Ping LCG Regular" w:hAnsi="Ping LCG Regular" w:cs="Arial"/>
          <w:spacing w:val="-14"/>
        </w:rPr>
        <w:t xml:space="preserve">Ειδικότερα το </w:t>
      </w:r>
      <w:r w:rsidR="00EC6207" w:rsidRPr="00637252">
        <w:rPr>
          <w:rFonts w:ascii="Ping LCG Regular" w:hAnsi="Ping LCG Regular" w:cs="Arial"/>
          <w:spacing w:val="-14"/>
        </w:rPr>
        <w:t>δ</w:t>
      </w:r>
      <w:r w:rsidR="009614FF" w:rsidRPr="00637252">
        <w:rPr>
          <w:rFonts w:ascii="Ping LCG Regular" w:hAnsi="Ping LCG Regular" w:cs="Arial"/>
          <w:spacing w:val="-14"/>
        </w:rPr>
        <w:t xml:space="preserve">’ τρίμηνο του 2021 </w:t>
      </w:r>
      <w:r w:rsidR="000018BC" w:rsidRPr="00637252">
        <w:rPr>
          <w:rFonts w:ascii="Ping LCG Regular" w:hAnsi="Ping LCG Regular" w:cs="Arial"/>
          <w:spacing w:val="-14"/>
        </w:rPr>
        <w:t xml:space="preserve">η δαπάνη για υγρά καύσιμα αυξήθηκε κατά </w:t>
      </w:r>
      <w:r w:rsidR="00EC6207" w:rsidRPr="00637252">
        <w:rPr>
          <w:rFonts w:ascii="Ping LCG Regular" w:hAnsi="Ping LCG Regular" w:cs="Arial"/>
          <w:spacing w:val="-14"/>
        </w:rPr>
        <w:t>20</w:t>
      </w:r>
      <w:r w:rsidR="000018BC" w:rsidRPr="00637252">
        <w:rPr>
          <w:rFonts w:ascii="Ping LCG Regular" w:hAnsi="Ping LCG Regular" w:cs="Arial"/>
          <w:spacing w:val="-14"/>
        </w:rPr>
        <w:t>,</w:t>
      </w:r>
      <w:r w:rsidR="00EC6207" w:rsidRPr="00637252">
        <w:rPr>
          <w:rFonts w:ascii="Ping LCG Regular" w:hAnsi="Ping LCG Regular" w:cs="Arial"/>
          <w:spacing w:val="-14"/>
        </w:rPr>
        <w:t>8</w:t>
      </w:r>
      <w:r w:rsidR="000018BC" w:rsidRPr="00637252">
        <w:rPr>
          <w:rFonts w:ascii="Ping LCG Regular" w:hAnsi="Ping LCG Regular" w:cs="Arial"/>
          <w:spacing w:val="-14"/>
        </w:rPr>
        <w:t>%</w:t>
      </w:r>
      <w:r w:rsidR="009C770D" w:rsidRPr="00637252">
        <w:rPr>
          <w:rFonts w:ascii="Ping LCG Regular" w:hAnsi="Ping LCG Regular" w:cs="Arial"/>
          <w:spacing w:val="-14"/>
        </w:rPr>
        <w:t xml:space="preserve">, ως αποτέλεσμα </w:t>
      </w:r>
      <w:r w:rsidR="001D5A4D" w:rsidRPr="00637252">
        <w:rPr>
          <w:rFonts w:ascii="Ping LCG Regular" w:hAnsi="Ping LCG Regular" w:cs="Arial"/>
          <w:spacing w:val="-14"/>
        </w:rPr>
        <w:t>της ακόμα μεγαλύτερης αύξησης των αντίστοιχων τιμών.</w:t>
      </w:r>
    </w:p>
    <w:p w14:paraId="2684588F" w14:textId="77777777" w:rsidR="00A249A6" w:rsidRPr="00B9317E" w:rsidRDefault="00A249A6" w:rsidP="00A249A6">
      <w:pPr>
        <w:widowControl w:val="0"/>
        <w:autoSpaceDE w:val="0"/>
        <w:autoSpaceDN w:val="0"/>
        <w:adjustRightInd w:val="0"/>
        <w:ind w:left="284" w:right="22" w:hanging="142"/>
        <w:jc w:val="both"/>
        <w:rPr>
          <w:rFonts w:ascii="Ping LCG Regular" w:hAnsi="Ping LCG Regular" w:cs="Arial"/>
          <w:strike/>
          <w:spacing w:val="-14"/>
          <w:lang w:val="el-GR"/>
        </w:rPr>
      </w:pPr>
      <w:r w:rsidRPr="00B9317E">
        <w:rPr>
          <w:rFonts w:ascii="Ping LCG Regular" w:hAnsi="Ping LCG Regular" w:cs="Arial"/>
          <w:spacing w:val="-14"/>
          <w:lang w:val="el-GR"/>
        </w:rPr>
        <w:t xml:space="preserve"> </w:t>
      </w:r>
    </w:p>
    <w:p w14:paraId="51551DD2" w14:textId="27E89CB2" w:rsidR="00F12B2B" w:rsidRPr="00F90799" w:rsidRDefault="00A249A6" w:rsidP="00A249A6">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B9317E">
        <w:rPr>
          <w:rFonts w:ascii="Ping LCG Regular" w:hAnsi="Ping LCG Regular" w:cs="Arial"/>
          <w:spacing w:val="-14"/>
          <w:lang w:val="el-GR"/>
        </w:rPr>
        <w:t xml:space="preserve">Η δαπάνη για φυσικό αέριο, </w:t>
      </w:r>
      <w:r w:rsidR="00EB0CE4" w:rsidRPr="00B9317E">
        <w:rPr>
          <w:rFonts w:ascii="Ping LCG Regular" w:hAnsi="Ping LCG Regular" w:cs="Arial"/>
          <w:spacing w:val="-14"/>
          <w:lang w:val="el-GR"/>
        </w:rPr>
        <w:t>αυξήθηκε</w:t>
      </w:r>
      <w:r w:rsidRPr="00B9317E">
        <w:rPr>
          <w:rFonts w:ascii="Ping LCG Regular" w:hAnsi="Ping LCG Regular" w:cs="Arial"/>
          <w:spacing w:val="-14"/>
          <w:lang w:val="el-GR"/>
        </w:rPr>
        <w:t xml:space="preserve"> σημαντικά κατά </w:t>
      </w:r>
      <w:r w:rsidR="00EC6207" w:rsidRPr="00B9317E">
        <w:rPr>
          <w:rFonts w:ascii="Ping LCG Regular" w:hAnsi="Ping LCG Regular" w:cs="Arial"/>
          <w:spacing w:val="-14"/>
          <w:lang w:val="el-GR"/>
        </w:rPr>
        <w:t>205,5</w:t>
      </w:r>
      <w:r w:rsidRPr="00B9317E">
        <w:rPr>
          <w:rFonts w:ascii="Ping LCG Regular" w:hAnsi="Ping LCG Regular" w:cs="Arial"/>
          <w:spacing w:val="-14"/>
          <w:lang w:val="el-GR"/>
        </w:rPr>
        <w:t>% σε €</w:t>
      </w:r>
      <w:r w:rsidR="00EC6207" w:rsidRPr="00B9317E">
        <w:rPr>
          <w:rFonts w:ascii="Ping LCG Regular" w:hAnsi="Ping LCG Regular" w:cs="Arial"/>
          <w:spacing w:val="-14"/>
          <w:lang w:val="el-GR"/>
        </w:rPr>
        <w:t>910,1</w:t>
      </w:r>
      <w:r w:rsidRPr="00B9317E">
        <w:rPr>
          <w:rFonts w:ascii="Ping LCG Regular" w:hAnsi="Ping LCG Regular" w:cs="Arial"/>
          <w:spacing w:val="-14"/>
          <w:lang w:val="el-GR"/>
        </w:rPr>
        <w:t xml:space="preserve"> εκατ. έναντι €</w:t>
      </w:r>
      <w:r w:rsidR="00B97683" w:rsidRPr="00B9317E">
        <w:rPr>
          <w:rFonts w:ascii="Ping LCG Regular" w:hAnsi="Ping LCG Regular" w:cs="Arial"/>
          <w:spacing w:val="-14"/>
          <w:lang w:val="el-GR"/>
        </w:rPr>
        <w:t>2</w:t>
      </w:r>
      <w:r w:rsidR="00EC6207" w:rsidRPr="00B9317E">
        <w:rPr>
          <w:rFonts w:ascii="Ping LCG Regular" w:hAnsi="Ping LCG Regular" w:cs="Arial"/>
          <w:spacing w:val="-14"/>
          <w:lang w:val="el-GR"/>
        </w:rPr>
        <w:t>97,9</w:t>
      </w:r>
      <w:r w:rsidRPr="00B9317E">
        <w:rPr>
          <w:rFonts w:ascii="Ping LCG Regular" w:hAnsi="Ping LCG Regular" w:cs="Arial"/>
          <w:spacing w:val="-14"/>
          <w:lang w:val="el-GR"/>
        </w:rPr>
        <w:t xml:space="preserve"> εκατ. </w:t>
      </w:r>
      <w:r w:rsidR="001D692E" w:rsidRPr="00B9317E">
        <w:rPr>
          <w:rFonts w:ascii="Ping LCG Regular" w:hAnsi="Ping LCG Regular" w:cs="Arial"/>
          <w:spacing w:val="-14"/>
          <w:lang w:val="el-GR"/>
        </w:rPr>
        <w:t xml:space="preserve">πρωτίστως </w:t>
      </w:r>
      <w:r w:rsidRPr="00B9317E">
        <w:rPr>
          <w:rFonts w:ascii="Ping LCG Regular" w:hAnsi="Ping LCG Regular" w:cs="Arial"/>
          <w:spacing w:val="-14"/>
          <w:lang w:val="el-GR"/>
        </w:rPr>
        <w:t xml:space="preserve">λόγω </w:t>
      </w:r>
      <w:r w:rsidR="001D692E" w:rsidRPr="00B9317E">
        <w:rPr>
          <w:rFonts w:ascii="Ping LCG Regular" w:hAnsi="Ping LCG Regular" w:cs="Arial"/>
          <w:spacing w:val="-14"/>
          <w:lang w:val="el-GR"/>
        </w:rPr>
        <w:t xml:space="preserve">της </w:t>
      </w:r>
      <w:r w:rsidR="008A6EE6" w:rsidRPr="00B9317E">
        <w:rPr>
          <w:rFonts w:ascii="Ping LCG Regular" w:hAnsi="Ping LCG Regular" w:cs="Arial"/>
          <w:spacing w:val="-14"/>
          <w:lang w:val="el-GR"/>
        </w:rPr>
        <w:t>μεγάλης αύξησης</w:t>
      </w:r>
      <w:r w:rsidR="008A6EE6" w:rsidRPr="008A6EE6">
        <w:rPr>
          <w:rFonts w:ascii="Ping LCG Regular" w:hAnsi="Ping LCG Regular" w:cs="Arial"/>
          <w:spacing w:val="-14"/>
          <w:lang w:val="el-GR"/>
        </w:rPr>
        <w:t xml:space="preserve"> </w:t>
      </w:r>
      <w:r w:rsidR="007D1398" w:rsidRPr="008A6EE6">
        <w:rPr>
          <w:rFonts w:ascii="Ping LCG Regular" w:hAnsi="Ping LCG Regular" w:cs="Arial"/>
          <w:spacing w:val="-14"/>
          <w:lang w:val="el-GR"/>
        </w:rPr>
        <w:t xml:space="preserve">της </w:t>
      </w:r>
      <w:r w:rsidR="001D692E" w:rsidRPr="008A6EE6">
        <w:rPr>
          <w:rFonts w:ascii="Ping LCG Regular" w:hAnsi="Ping LCG Regular" w:cs="Arial"/>
          <w:spacing w:val="-14"/>
          <w:lang w:val="el-GR"/>
        </w:rPr>
        <w:t xml:space="preserve">τιμής του φυσικού αερίου κατά </w:t>
      </w:r>
      <w:r w:rsidR="006D696A" w:rsidRPr="008A6EE6">
        <w:rPr>
          <w:rFonts w:ascii="Ping LCG Regular" w:hAnsi="Ping LCG Regular" w:cs="Arial"/>
          <w:spacing w:val="-14"/>
          <w:lang w:val="el-GR"/>
        </w:rPr>
        <w:t>134,5</w:t>
      </w:r>
      <w:r w:rsidR="001D692E" w:rsidRPr="008A6EE6">
        <w:rPr>
          <w:rFonts w:ascii="Ping LCG Regular" w:hAnsi="Ping LCG Regular" w:cs="Arial"/>
          <w:spacing w:val="-14"/>
          <w:lang w:val="el-GR"/>
        </w:rPr>
        <w:t>% και δευτερ</w:t>
      </w:r>
      <w:r w:rsidR="00F12B2B" w:rsidRPr="008A6EE6">
        <w:rPr>
          <w:rFonts w:ascii="Ping LCG Regular" w:hAnsi="Ping LCG Regular" w:cs="Arial"/>
          <w:spacing w:val="-14"/>
          <w:lang w:val="el-GR"/>
        </w:rPr>
        <w:t xml:space="preserve">ευόντως λόγω της </w:t>
      </w:r>
      <w:r w:rsidR="001D692E" w:rsidRPr="008A6EE6">
        <w:rPr>
          <w:rFonts w:ascii="Ping LCG Regular" w:hAnsi="Ping LCG Regular" w:cs="Arial"/>
          <w:spacing w:val="-14"/>
          <w:lang w:val="el-GR"/>
        </w:rPr>
        <w:t xml:space="preserve"> </w:t>
      </w:r>
      <w:r w:rsidR="00F12B2B" w:rsidRPr="008A6EE6">
        <w:rPr>
          <w:rFonts w:ascii="Ping LCG Regular" w:hAnsi="Ping LCG Regular" w:cs="Arial"/>
          <w:spacing w:val="-14"/>
          <w:lang w:val="el-GR"/>
        </w:rPr>
        <w:t xml:space="preserve">αυξημένης </w:t>
      </w:r>
      <w:r w:rsidR="00635D47" w:rsidRPr="008A6EE6">
        <w:rPr>
          <w:rFonts w:ascii="Ping LCG Regular" w:hAnsi="Ping LCG Regular" w:cs="Arial"/>
          <w:spacing w:val="-14"/>
          <w:lang w:val="el-GR"/>
        </w:rPr>
        <w:t>παραγωγής</w:t>
      </w:r>
      <w:r w:rsidR="007D1398" w:rsidRPr="008A6EE6">
        <w:rPr>
          <w:rFonts w:ascii="Ping LCG Regular" w:hAnsi="Ping LCG Regular" w:cs="Arial"/>
          <w:spacing w:val="-14"/>
          <w:lang w:val="el-GR"/>
        </w:rPr>
        <w:t xml:space="preserve"> ηλεκτρικής ενέργειας</w:t>
      </w:r>
      <w:r w:rsidR="00D95CA6" w:rsidRPr="008A6EE6">
        <w:rPr>
          <w:rFonts w:ascii="Ping LCG Regular" w:hAnsi="Ping LCG Regular" w:cs="Arial"/>
          <w:spacing w:val="-14"/>
          <w:lang w:val="el-GR"/>
        </w:rPr>
        <w:t xml:space="preserve"> </w:t>
      </w:r>
      <w:r w:rsidR="00B97683" w:rsidRPr="008A6EE6">
        <w:rPr>
          <w:rFonts w:ascii="Ping LCG Regular" w:hAnsi="Ping LCG Regular" w:cs="Arial"/>
          <w:spacing w:val="-14"/>
          <w:lang w:val="el-GR"/>
        </w:rPr>
        <w:t xml:space="preserve">κατά </w:t>
      </w:r>
      <w:r w:rsidR="00EC6207" w:rsidRPr="008A6EE6">
        <w:rPr>
          <w:rFonts w:ascii="Ping LCG Regular" w:hAnsi="Ping LCG Regular" w:cs="Arial"/>
          <w:spacing w:val="-14"/>
          <w:lang w:val="el-GR"/>
        </w:rPr>
        <w:t>28,9</w:t>
      </w:r>
      <w:r w:rsidR="00B97683" w:rsidRPr="008A6EE6">
        <w:rPr>
          <w:rFonts w:ascii="Ping LCG Regular" w:hAnsi="Ping LCG Regular" w:cs="Arial"/>
          <w:spacing w:val="-14"/>
          <w:lang w:val="el-GR"/>
        </w:rPr>
        <w:t>%</w:t>
      </w:r>
      <w:r w:rsidR="00F12B2B" w:rsidRPr="008A6EE6">
        <w:rPr>
          <w:rFonts w:ascii="Ping LCG Regular" w:hAnsi="Ping LCG Regular" w:cs="Arial"/>
          <w:spacing w:val="-14"/>
          <w:lang w:val="el-GR"/>
        </w:rPr>
        <w:t>.</w:t>
      </w:r>
      <w:r w:rsidR="00D95CA6" w:rsidRPr="008B2FFE">
        <w:rPr>
          <w:rFonts w:ascii="Ping LCG Regular" w:hAnsi="Ping LCG Regular" w:cs="Arial"/>
          <w:spacing w:val="-14"/>
          <w:lang w:val="el-GR"/>
        </w:rPr>
        <w:t xml:space="preserve"> </w:t>
      </w:r>
      <w:r w:rsidR="000018BC" w:rsidRPr="008B2FFE">
        <w:rPr>
          <w:rFonts w:ascii="Ping LCG Regular" w:hAnsi="Ping LCG Regular" w:cs="Arial"/>
          <w:spacing w:val="-14"/>
          <w:lang w:val="el-GR"/>
        </w:rPr>
        <w:t xml:space="preserve">Κατά το </w:t>
      </w:r>
      <w:r w:rsidR="00EC6207" w:rsidRPr="008B2FFE">
        <w:rPr>
          <w:rFonts w:ascii="Ping LCG Regular" w:hAnsi="Ping LCG Regular" w:cs="Arial"/>
          <w:spacing w:val="-14"/>
          <w:lang w:val="el-GR"/>
        </w:rPr>
        <w:t>δ</w:t>
      </w:r>
      <w:r w:rsidR="000018BC" w:rsidRPr="008B2FFE">
        <w:rPr>
          <w:rFonts w:ascii="Ping LCG Regular" w:hAnsi="Ping LCG Regular" w:cs="Arial"/>
          <w:spacing w:val="-14"/>
          <w:lang w:val="el-GR"/>
        </w:rPr>
        <w:t xml:space="preserve">’ τρίμηνο 2021 η δαπάνη για φυσικό αέριο </w:t>
      </w:r>
      <w:r w:rsidR="00EC6207" w:rsidRPr="008B2FFE">
        <w:rPr>
          <w:rFonts w:ascii="Ping LCG Regular" w:hAnsi="Ping LCG Regular" w:cs="Arial"/>
          <w:spacing w:val="-14"/>
          <w:lang w:val="el-GR"/>
        </w:rPr>
        <w:t>πενταπλα</w:t>
      </w:r>
      <w:r w:rsidR="000018BC" w:rsidRPr="008B2FFE">
        <w:rPr>
          <w:rFonts w:ascii="Ping LCG Regular" w:hAnsi="Ping LCG Regular" w:cs="Arial"/>
          <w:spacing w:val="-14"/>
          <w:lang w:val="el-GR"/>
        </w:rPr>
        <w:t>σιάστηκε φτάνοντας τα €</w:t>
      </w:r>
      <w:r w:rsidR="00EC6207" w:rsidRPr="008B2FFE">
        <w:rPr>
          <w:rFonts w:ascii="Ping LCG Regular" w:hAnsi="Ping LCG Regular" w:cs="Arial"/>
          <w:spacing w:val="-14"/>
          <w:lang w:val="el-GR"/>
        </w:rPr>
        <w:t>457,4</w:t>
      </w:r>
      <w:r w:rsidR="000018BC" w:rsidRPr="008B2FFE">
        <w:rPr>
          <w:rFonts w:ascii="Ping LCG Regular" w:hAnsi="Ping LCG Regular" w:cs="Arial"/>
          <w:spacing w:val="-14"/>
          <w:lang w:val="el-GR"/>
        </w:rPr>
        <w:t xml:space="preserve"> </w:t>
      </w:r>
      <w:proofErr w:type="spellStart"/>
      <w:r w:rsidR="000018BC" w:rsidRPr="008B2FFE">
        <w:rPr>
          <w:rFonts w:ascii="Ping LCG Regular" w:hAnsi="Ping LCG Regular" w:cs="Arial"/>
          <w:spacing w:val="-14"/>
          <w:lang w:val="el-GR"/>
        </w:rPr>
        <w:t>εκατ</w:t>
      </w:r>
      <w:proofErr w:type="spellEnd"/>
      <w:r w:rsidR="000018BC" w:rsidRPr="008B2FFE">
        <w:rPr>
          <w:rFonts w:ascii="Ping LCG Regular" w:hAnsi="Ping LCG Regular" w:cs="Arial"/>
          <w:spacing w:val="-14"/>
          <w:lang w:val="el-GR"/>
        </w:rPr>
        <w:t xml:space="preserve"> από €9</w:t>
      </w:r>
      <w:r w:rsidR="00EC6207" w:rsidRPr="008B2FFE">
        <w:rPr>
          <w:rFonts w:ascii="Ping LCG Regular" w:hAnsi="Ping LCG Regular" w:cs="Arial"/>
          <w:spacing w:val="-14"/>
          <w:lang w:val="el-GR"/>
        </w:rPr>
        <w:t>1</w:t>
      </w:r>
      <w:r w:rsidR="000018BC" w:rsidRPr="008B2FFE">
        <w:rPr>
          <w:rFonts w:ascii="Ping LCG Regular" w:hAnsi="Ping LCG Regular" w:cs="Arial"/>
          <w:spacing w:val="-14"/>
          <w:lang w:val="el-GR"/>
        </w:rPr>
        <w:t>,</w:t>
      </w:r>
      <w:r w:rsidR="00EC6207" w:rsidRPr="008B2FFE">
        <w:rPr>
          <w:rFonts w:ascii="Ping LCG Regular" w:hAnsi="Ping LCG Regular" w:cs="Arial"/>
          <w:spacing w:val="-14"/>
          <w:lang w:val="el-GR"/>
        </w:rPr>
        <w:t>9</w:t>
      </w:r>
      <w:r w:rsidR="000018BC" w:rsidRPr="008B2FFE">
        <w:rPr>
          <w:rFonts w:ascii="Ping LCG Regular" w:hAnsi="Ping LCG Regular" w:cs="Arial"/>
          <w:spacing w:val="-14"/>
          <w:lang w:val="el-GR"/>
        </w:rPr>
        <w:t xml:space="preserve"> </w:t>
      </w:r>
      <w:proofErr w:type="spellStart"/>
      <w:r w:rsidR="000018BC" w:rsidRPr="008B2FFE">
        <w:rPr>
          <w:rFonts w:ascii="Ping LCG Regular" w:hAnsi="Ping LCG Regular" w:cs="Arial"/>
          <w:spacing w:val="-14"/>
          <w:lang w:val="el-GR"/>
        </w:rPr>
        <w:t>εκατ</w:t>
      </w:r>
      <w:proofErr w:type="spellEnd"/>
      <w:r w:rsidR="000018BC" w:rsidRPr="008B2FFE">
        <w:rPr>
          <w:rFonts w:ascii="Ping LCG Regular" w:hAnsi="Ping LCG Regular" w:cs="Arial"/>
          <w:spacing w:val="-14"/>
          <w:lang w:val="el-GR"/>
        </w:rPr>
        <w:t xml:space="preserve"> το </w:t>
      </w:r>
      <w:r w:rsidR="00EC6207" w:rsidRPr="008B2FFE">
        <w:rPr>
          <w:rFonts w:ascii="Ping LCG Regular" w:hAnsi="Ping LCG Regular" w:cs="Arial"/>
          <w:spacing w:val="-14"/>
          <w:lang w:val="el-GR"/>
        </w:rPr>
        <w:t>δ</w:t>
      </w:r>
      <w:r w:rsidR="000018BC" w:rsidRPr="008B2FFE">
        <w:rPr>
          <w:rFonts w:ascii="Ping LCG Regular" w:hAnsi="Ping LCG Regular" w:cs="Arial"/>
          <w:spacing w:val="-14"/>
          <w:lang w:val="el-GR"/>
        </w:rPr>
        <w:t>’ τρίμηνο 2020</w:t>
      </w:r>
      <w:r w:rsidR="006D25B5" w:rsidRPr="008B2FFE">
        <w:rPr>
          <w:rFonts w:ascii="Ping LCG Regular" w:hAnsi="Ping LCG Regular" w:cs="Arial"/>
          <w:spacing w:val="-14"/>
          <w:lang w:val="el-GR"/>
        </w:rPr>
        <w:t xml:space="preserve">, </w:t>
      </w:r>
      <w:r w:rsidR="00F12B2B" w:rsidRPr="008B2FFE">
        <w:rPr>
          <w:rFonts w:ascii="Ping LCG Regular" w:hAnsi="Ping LCG Regular" w:cs="Arial"/>
          <w:spacing w:val="-14"/>
          <w:lang w:val="el-GR"/>
        </w:rPr>
        <w:t xml:space="preserve">για </w:t>
      </w:r>
      <w:r w:rsidR="00F12B2B" w:rsidRPr="00F90799">
        <w:rPr>
          <w:rFonts w:ascii="Ping LCG Regular" w:hAnsi="Ping LCG Regular" w:cs="Arial"/>
          <w:spacing w:val="-14"/>
          <w:lang w:val="el-GR"/>
        </w:rPr>
        <w:t>τους ίδιους λόγους.</w:t>
      </w:r>
    </w:p>
    <w:p w14:paraId="26328F44" w14:textId="7DB01156" w:rsidR="00A249A6" w:rsidRPr="00F90799" w:rsidRDefault="00A249A6" w:rsidP="00851841">
      <w:pPr>
        <w:jc w:val="both"/>
        <w:rPr>
          <w:rFonts w:ascii="Ping LCG Regular" w:hAnsi="Ping LCG Regular" w:cs="Arial"/>
          <w:spacing w:val="-14"/>
          <w:lang w:val="el-GR"/>
        </w:rPr>
      </w:pPr>
      <w:r w:rsidRPr="00F90799">
        <w:rPr>
          <w:rFonts w:ascii="Ping LCG Regular" w:hAnsi="Ping LCG Regular" w:cs="Arial"/>
          <w:spacing w:val="-14"/>
          <w:lang w:val="el-GR"/>
        </w:rPr>
        <w:t xml:space="preserve"> </w:t>
      </w:r>
    </w:p>
    <w:p w14:paraId="5DFCE94A" w14:textId="7420271C" w:rsidR="00A249A6" w:rsidRPr="00F90799" w:rsidRDefault="00A249A6" w:rsidP="007F675C">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F90799">
        <w:rPr>
          <w:rFonts w:ascii="Ping LCG Regular" w:hAnsi="Ping LCG Regular" w:cs="Arial"/>
          <w:spacing w:val="-14"/>
          <w:lang w:val="el-GR"/>
        </w:rPr>
        <w:t>Η δαπάνη για αγορές ενέργειας</w:t>
      </w:r>
      <w:r w:rsidR="00500167" w:rsidRPr="00F90799">
        <w:rPr>
          <w:rFonts w:ascii="Ping LCG Regular" w:hAnsi="Ping LCG Regular" w:cs="Arial"/>
          <w:spacing w:val="-14"/>
          <w:lang w:val="el-GR"/>
        </w:rPr>
        <w:t>,</w:t>
      </w:r>
      <w:r w:rsidR="00904859" w:rsidRPr="00F90799">
        <w:rPr>
          <w:rFonts w:ascii="Ping LCG Regular" w:hAnsi="Ping LCG Regular" w:cs="Arial"/>
          <w:spacing w:val="-14"/>
          <w:lang w:val="el-GR"/>
        </w:rPr>
        <w:t xml:space="preserve"> </w:t>
      </w:r>
      <w:r w:rsidR="008B2FFE" w:rsidRPr="00F90799">
        <w:rPr>
          <w:rFonts w:ascii="Ping LCG Regular" w:hAnsi="Ping LCG Regular" w:cs="Arial"/>
          <w:spacing w:val="-14"/>
          <w:lang w:val="el-GR"/>
        </w:rPr>
        <w:t>αυξήθηκε</w:t>
      </w:r>
      <w:r w:rsidRPr="00F90799">
        <w:rPr>
          <w:rFonts w:ascii="Ping LCG Regular" w:hAnsi="Ping LCG Regular" w:cs="Arial"/>
          <w:spacing w:val="-14"/>
          <w:lang w:val="el-GR"/>
        </w:rPr>
        <w:t xml:space="preserve"> κατά €</w:t>
      </w:r>
      <w:r w:rsidR="00B97683" w:rsidRPr="00F90799">
        <w:rPr>
          <w:rFonts w:ascii="Ping LCG Regular" w:hAnsi="Ping LCG Regular" w:cs="Arial"/>
          <w:spacing w:val="-14"/>
          <w:lang w:val="el-GR"/>
        </w:rPr>
        <w:t>1</w:t>
      </w:r>
      <w:r w:rsidR="008B2FFE" w:rsidRPr="00F90799">
        <w:rPr>
          <w:rFonts w:ascii="Ping LCG Regular" w:hAnsi="Ping LCG Regular" w:cs="Arial"/>
          <w:spacing w:val="-14"/>
          <w:lang w:val="el-GR"/>
        </w:rPr>
        <w:t>6</w:t>
      </w:r>
      <w:r w:rsidR="00B83155" w:rsidRPr="00445582">
        <w:rPr>
          <w:rFonts w:ascii="Ping LCG Regular" w:hAnsi="Ping LCG Regular" w:cs="Arial"/>
          <w:spacing w:val="-14"/>
          <w:lang w:val="el-GR"/>
        </w:rPr>
        <w:t>8</w:t>
      </w:r>
      <w:r w:rsidR="00B97683" w:rsidRPr="00F90799">
        <w:rPr>
          <w:rFonts w:ascii="Ping LCG Regular" w:hAnsi="Ping LCG Regular" w:cs="Arial"/>
          <w:spacing w:val="-14"/>
          <w:lang w:val="el-GR"/>
        </w:rPr>
        <w:t>,</w:t>
      </w:r>
      <w:r w:rsidR="00B83155" w:rsidRPr="00445582">
        <w:rPr>
          <w:rFonts w:ascii="Ping LCG Regular" w:hAnsi="Ping LCG Regular" w:cs="Arial"/>
          <w:spacing w:val="-14"/>
          <w:lang w:val="el-GR"/>
        </w:rPr>
        <w:t>9</w:t>
      </w:r>
      <w:r w:rsidRPr="00F90799">
        <w:rPr>
          <w:rFonts w:ascii="Ping LCG Regular" w:hAnsi="Ping LCG Regular" w:cs="Arial"/>
          <w:spacing w:val="-14"/>
          <w:lang w:val="el-GR"/>
        </w:rPr>
        <w:t xml:space="preserve"> εκατ. </w:t>
      </w:r>
      <w:r w:rsidR="00304B6F" w:rsidRPr="00F90799">
        <w:rPr>
          <w:rFonts w:ascii="Ping LCG Regular" w:hAnsi="Ping LCG Regular" w:cs="Arial"/>
          <w:spacing w:val="-14"/>
          <w:lang w:val="el-GR"/>
        </w:rPr>
        <w:t>(1</w:t>
      </w:r>
      <w:r w:rsidR="00B83155" w:rsidRPr="00445582">
        <w:rPr>
          <w:rFonts w:ascii="Ping LCG Regular" w:hAnsi="Ping LCG Regular" w:cs="Arial"/>
          <w:spacing w:val="-14"/>
          <w:lang w:val="el-GR"/>
        </w:rPr>
        <w:t>5</w:t>
      </w:r>
      <w:r w:rsidR="00304B6F" w:rsidRPr="00F90799">
        <w:rPr>
          <w:rFonts w:ascii="Ping LCG Regular" w:hAnsi="Ping LCG Regular" w:cs="Arial"/>
          <w:spacing w:val="-14"/>
          <w:lang w:val="el-GR"/>
        </w:rPr>
        <w:t>,</w:t>
      </w:r>
      <w:r w:rsidR="00B83155" w:rsidRPr="00445582">
        <w:rPr>
          <w:rFonts w:ascii="Ping LCG Regular" w:hAnsi="Ping LCG Regular" w:cs="Arial"/>
          <w:spacing w:val="-14"/>
          <w:lang w:val="el-GR"/>
        </w:rPr>
        <w:t>1</w:t>
      </w:r>
      <w:r w:rsidR="00304B6F" w:rsidRPr="00F90799">
        <w:rPr>
          <w:rFonts w:ascii="Ping LCG Regular" w:hAnsi="Ping LCG Regular" w:cs="Arial"/>
          <w:spacing w:val="-14"/>
          <w:lang w:val="el-GR"/>
        </w:rPr>
        <w:t xml:space="preserve">%) </w:t>
      </w:r>
      <w:r w:rsidRPr="00F90799">
        <w:rPr>
          <w:rFonts w:ascii="Ping LCG Regular" w:hAnsi="Ping LCG Regular" w:cs="Arial"/>
          <w:spacing w:val="-14"/>
          <w:lang w:val="el-GR"/>
        </w:rPr>
        <w:t>λόγω</w:t>
      </w:r>
      <w:r w:rsidR="00736421" w:rsidRPr="00F90799">
        <w:rPr>
          <w:rFonts w:ascii="Ping LCG Regular" w:hAnsi="Ping LCG Regular" w:cs="Arial"/>
          <w:spacing w:val="-14"/>
          <w:lang w:val="el-GR"/>
        </w:rPr>
        <w:t xml:space="preserve"> </w:t>
      </w:r>
      <w:r w:rsidR="008A6EE6">
        <w:rPr>
          <w:rFonts w:ascii="Ping LCG Regular" w:hAnsi="Ping LCG Regular" w:cs="Arial"/>
          <w:spacing w:val="-14"/>
          <w:lang w:val="el-GR"/>
        </w:rPr>
        <w:t xml:space="preserve">της </w:t>
      </w:r>
      <w:r w:rsidR="008A6EE6" w:rsidRPr="00F90799">
        <w:rPr>
          <w:rFonts w:ascii="Ping LCG Regular" w:hAnsi="Ping LCG Regular" w:cs="Arial"/>
          <w:spacing w:val="-14"/>
          <w:lang w:val="el-GR"/>
        </w:rPr>
        <w:t>αύξηση</w:t>
      </w:r>
      <w:r w:rsidR="008A6EE6">
        <w:rPr>
          <w:rFonts w:ascii="Ping LCG Regular" w:hAnsi="Ping LCG Regular" w:cs="Arial"/>
          <w:spacing w:val="-14"/>
          <w:lang w:val="el-GR"/>
        </w:rPr>
        <w:t>ς</w:t>
      </w:r>
      <w:r w:rsidR="008A6EE6" w:rsidRPr="00F90799">
        <w:rPr>
          <w:rFonts w:ascii="Ping LCG Regular" w:hAnsi="Ping LCG Regular" w:cs="Arial"/>
          <w:spacing w:val="-14"/>
          <w:lang w:val="el-GR"/>
        </w:rPr>
        <w:t xml:space="preserve"> της Τιμής Εκκαθάρισης Αγοράς (ΤΕΑ) από €45,1/</w:t>
      </w:r>
      <w:proofErr w:type="spellStart"/>
      <w:r w:rsidR="008A6EE6" w:rsidRPr="00F90799">
        <w:rPr>
          <w:rFonts w:ascii="Ping LCG Regular" w:hAnsi="Ping LCG Regular" w:cs="Arial"/>
          <w:spacing w:val="-14"/>
          <w:lang w:val="el-GR"/>
        </w:rPr>
        <w:t>MWh</w:t>
      </w:r>
      <w:proofErr w:type="spellEnd"/>
      <w:r w:rsidR="008A6EE6" w:rsidRPr="00F90799">
        <w:rPr>
          <w:rFonts w:ascii="Ping LCG Regular" w:hAnsi="Ping LCG Regular" w:cs="Arial"/>
          <w:spacing w:val="-14"/>
          <w:lang w:val="el-GR"/>
        </w:rPr>
        <w:t xml:space="preserve"> το 2020 σε €116,4/</w:t>
      </w:r>
      <w:proofErr w:type="spellStart"/>
      <w:r w:rsidR="008A6EE6" w:rsidRPr="00F90799">
        <w:rPr>
          <w:rFonts w:ascii="Ping LCG Regular" w:hAnsi="Ping LCG Regular" w:cs="Arial"/>
          <w:spacing w:val="-14"/>
          <w:lang w:val="el-GR"/>
        </w:rPr>
        <w:t>MWh</w:t>
      </w:r>
      <w:proofErr w:type="spellEnd"/>
      <w:r w:rsidR="008A6EE6" w:rsidRPr="00F90799">
        <w:rPr>
          <w:rFonts w:ascii="Ping LCG Regular" w:hAnsi="Ping LCG Regular" w:cs="Arial"/>
          <w:spacing w:val="-14"/>
          <w:lang w:val="el-GR"/>
        </w:rPr>
        <w:t xml:space="preserve"> το 2021</w:t>
      </w:r>
      <w:r w:rsidR="008A6EE6">
        <w:rPr>
          <w:rFonts w:ascii="Ping LCG Regular" w:hAnsi="Ping LCG Regular" w:cs="Arial"/>
          <w:spacing w:val="-14"/>
          <w:lang w:val="el-GR"/>
        </w:rPr>
        <w:t>, παρά τον</w:t>
      </w:r>
      <w:r w:rsidR="00736421" w:rsidRPr="00F90799">
        <w:rPr>
          <w:rFonts w:ascii="Ping LCG Regular" w:hAnsi="Ping LCG Regular" w:cs="Arial"/>
          <w:spacing w:val="-14"/>
          <w:lang w:val="el-GR"/>
        </w:rPr>
        <w:t xml:space="preserve"> μικρότερο όγκο των αγορών ενέργειας</w:t>
      </w:r>
      <w:r w:rsidR="008A6EE6">
        <w:rPr>
          <w:rFonts w:ascii="Ping LCG Regular" w:hAnsi="Ping LCG Regular" w:cs="Arial"/>
          <w:spacing w:val="-14"/>
          <w:lang w:val="el-GR"/>
        </w:rPr>
        <w:t>.</w:t>
      </w:r>
      <w:r w:rsidRPr="00F90799">
        <w:rPr>
          <w:rFonts w:ascii="Ping LCG Regular" w:hAnsi="Ping LCG Regular" w:cs="Arial"/>
          <w:spacing w:val="-14"/>
          <w:lang w:val="el-GR"/>
        </w:rPr>
        <w:t xml:space="preserve"> </w:t>
      </w:r>
      <w:r w:rsidR="000018BC" w:rsidRPr="00F90799">
        <w:rPr>
          <w:rFonts w:ascii="Ping LCG Regular" w:hAnsi="Ping LCG Regular" w:cs="Arial"/>
          <w:spacing w:val="-14"/>
          <w:lang w:val="el-GR"/>
        </w:rPr>
        <w:t xml:space="preserve">Ειδικότερα όμως το </w:t>
      </w:r>
      <w:r w:rsidR="008C0CE3" w:rsidRPr="00F90799">
        <w:rPr>
          <w:rFonts w:ascii="Ping LCG Regular" w:hAnsi="Ping LCG Regular" w:cs="Arial"/>
          <w:spacing w:val="-14"/>
          <w:lang w:val="el-GR"/>
        </w:rPr>
        <w:t>δ</w:t>
      </w:r>
      <w:r w:rsidR="000018BC" w:rsidRPr="00F90799">
        <w:rPr>
          <w:rFonts w:ascii="Ping LCG Regular" w:hAnsi="Ping LCG Regular" w:cs="Arial"/>
          <w:spacing w:val="-14"/>
          <w:lang w:val="el-GR"/>
        </w:rPr>
        <w:t xml:space="preserve">’ τρίμηνο η δαπάνη για αγορές ενέργειας σημείωσε σημαντική αύξηση κατά </w:t>
      </w:r>
      <w:r w:rsidR="00304B6F" w:rsidRPr="00F90799">
        <w:rPr>
          <w:rFonts w:ascii="Ping LCG Regular" w:hAnsi="Ping LCG Regular" w:cs="Arial"/>
          <w:spacing w:val="-14"/>
          <w:lang w:val="el-GR"/>
        </w:rPr>
        <w:t>€77,3 εκατ. (29</w:t>
      </w:r>
      <w:r w:rsidR="000018BC" w:rsidRPr="00F90799">
        <w:rPr>
          <w:rFonts w:ascii="Ping LCG Regular" w:hAnsi="Ping LCG Regular" w:cs="Arial"/>
          <w:spacing w:val="-14"/>
          <w:lang w:val="el-GR"/>
        </w:rPr>
        <w:t>,</w:t>
      </w:r>
      <w:r w:rsidR="00304B6F" w:rsidRPr="00F90799">
        <w:rPr>
          <w:rFonts w:ascii="Ping LCG Regular" w:hAnsi="Ping LCG Regular" w:cs="Arial"/>
          <w:spacing w:val="-14"/>
          <w:lang w:val="el-GR"/>
        </w:rPr>
        <w:t>9</w:t>
      </w:r>
      <w:r w:rsidR="000018BC" w:rsidRPr="00F90799">
        <w:rPr>
          <w:rFonts w:ascii="Ping LCG Regular" w:hAnsi="Ping LCG Regular" w:cs="Arial"/>
          <w:spacing w:val="-14"/>
          <w:lang w:val="el-GR"/>
        </w:rPr>
        <w:t>%</w:t>
      </w:r>
      <w:r w:rsidR="00304B6F" w:rsidRPr="00F90799">
        <w:rPr>
          <w:rFonts w:ascii="Ping LCG Regular" w:hAnsi="Ping LCG Regular" w:cs="Arial"/>
          <w:spacing w:val="-14"/>
          <w:lang w:val="el-GR"/>
        </w:rPr>
        <w:t>)</w:t>
      </w:r>
      <w:r w:rsidR="000423CD" w:rsidRPr="00F90799">
        <w:rPr>
          <w:rFonts w:ascii="Ping LCG Regular" w:hAnsi="Ping LCG Regular" w:cs="Arial"/>
          <w:spacing w:val="-14"/>
          <w:lang w:val="el-GR"/>
        </w:rPr>
        <w:t>, καθώς η ΤΕΑ αυξήθηκε  από €</w:t>
      </w:r>
      <w:r w:rsidR="008C0CE3" w:rsidRPr="00F90799">
        <w:rPr>
          <w:rFonts w:ascii="Ping LCG Regular" w:hAnsi="Ping LCG Regular" w:cs="Arial"/>
          <w:spacing w:val="-14"/>
          <w:lang w:val="el-GR"/>
        </w:rPr>
        <w:t>53</w:t>
      </w:r>
      <w:r w:rsidR="000423CD" w:rsidRPr="00F90799">
        <w:rPr>
          <w:rFonts w:ascii="Ping LCG Regular" w:hAnsi="Ping LCG Regular" w:cs="Arial"/>
          <w:spacing w:val="-14"/>
          <w:lang w:val="el-GR"/>
        </w:rPr>
        <w:t>/</w:t>
      </w:r>
      <w:proofErr w:type="spellStart"/>
      <w:r w:rsidR="000423CD" w:rsidRPr="00F90799">
        <w:rPr>
          <w:rFonts w:ascii="Ping LCG Regular" w:hAnsi="Ping LCG Regular" w:cs="Arial"/>
          <w:spacing w:val="-14"/>
          <w:lang w:val="el-GR"/>
        </w:rPr>
        <w:t>MWh</w:t>
      </w:r>
      <w:proofErr w:type="spellEnd"/>
      <w:r w:rsidR="000423CD" w:rsidRPr="00F90799">
        <w:rPr>
          <w:rFonts w:ascii="Ping LCG Regular" w:hAnsi="Ping LCG Regular" w:cs="Arial"/>
          <w:spacing w:val="-14"/>
          <w:lang w:val="el-GR"/>
        </w:rPr>
        <w:t xml:space="preserve"> το </w:t>
      </w:r>
      <w:r w:rsidR="008C0CE3" w:rsidRPr="00F90799">
        <w:rPr>
          <w:rFonts w:ascii="Ping LCG Regular" w:hAnsi="Ping LCG Regular" w:cs="Arial"/>
          <w:spacing w:val="-14"/>
          <w:lang w:val="el-GR"/>
        </w:rPr>
        <w:t>δ</w:t>
      </w:r>
      <w:r w:rsidR="000423CD" w:rsidRPr="00F90799">
        <w:rPr>
          <w:rFonts w:ascii="Ping LCG Regular" w:hAnsi="Ping LCG Regular" w:cs="Arial"/>
          <w:spacing w:val="-14"/>
          <w:lang w:val="el-GR"/>
        </w:rPr>
        <w:t>’ τρίμηνο του 2020 σε €</w:t>
      </w:r>
      <w:r w:rsidR="008C0CE3" w:rsidRPr="00F90799">
        <w:rPr>
          <w:rFonts w:ascii="Ping LCG Regular" w:hAnsi="Ping LCG Regular" w:cs="Arial"/>
          <w:spacing w:val="-14"/>
          <w:lang w:val="el-GR"/>
        </w:rPr>
        <w:t>220</w:t>
      </w:r>
      <w:r w:rsidR="000423CD" w:rsidRPr="00F90799">
        <w:rPr>
          <w:rFonts w:ascii="Ping LCG Regular" w:hAnsi="Ping LCG Regular" w:cs="Arial"/>
          <w:spacing w:val="-14"/>
          <w:lang w:val="el-GR"/>
        </w:rPr>
        <w:t>,</w:t>
      </w:r>
      <w:r w:rsidR="008C0CE3" w:rsidRPr="00F90799">
        <w:rPr>
          <w:rFonts w:ascii="Ping LCG Regular" w:hAnsi="Ping LCG Regular" w:cs="Arial"/>
          <w:spacing w:val="-14"/>
          <w:lang w:val="el-GR"/>
        </w:rPr>
        <w:t>8</w:t>
      </w:r>
      <w:r w:rsidR="000423CD" w:rsidRPr="00F90799">
        <w:rPr>
          <w:rFonts w:ascii="Ping LCG Regular" w:hAnsi="Ping LCG Regular" w:cs="Arial"/>
          <w:spacing w:val="-14"/>
          <w:lang w:val="el-GR"/>
        </w:rPr>
        <w:t>/</w:t>
      </w:r>
      <w:proofErr w:type="spellStart"/>
      <w:r w:rsidR="000423CD" w:rsidRPr="00F90799">
        <w:rPr>
          <w:rFonts w:ascii="Ping LCG Regular" w:hAnsi="Ping LCG Regular" w:cs="Arial"/>
          <w:spacing w:val="-14"/>
          <w:lang w:val="el-GR"/>
        </w:rPr>
        <w:t>MWh</w:t>
      </w:r>
      <w:proofErr w:type="spellEnd"/>
      <w:r w:rsidR="000423CD" w:rsidRPr="00F90799">
        <w:rPr>
          <w:rFonts w:ascii="Ping LCG Regular" w:hAnsi="Ping LCG Regular" w:cs="Arial"/>
          <w:spacing w:val="-14"/>
          <w:lang w:val="el-GR"/>
        </w:rPr>
        <w:t xml:space="preserve"> το </w:t>
      </w:r>
      <w:r w:rsidR="008C0CE3" w:rsidRPr="00F90799">
        <w:rPr>
          <w:rFonts w:ascii="Ping LCG Regular" w:hAnsi="Ping LCG Regular" w:cs="Arial"/>
          <w:spacing w:val="-14"/>
          <w:lang w:val="el-GR"/>
        </w:rPr>
        <w:t>δ</w:t>
      </w:r>
      <w:r w:rsidR="000423CD" w:rsidRPr="00F90799">
        <w:rPr>
          <w:rFonts w:ascii="Ping LCG Regular" w:hAnsi="Ping LCG Regular" w:cs="Arial"/>
          <w:spacing w:val="-14"/>
          <w:lang w:val="el-GR"/>
        </w:rPr>
        <w:t>’ τρίμηνο του 2021.</w:t>
      </w:r>
    </w:p>
    <w:p w14:paraId="44F276B7" w14:textId="77777777" w:rsidR="00FC2CF5" w:rsidRPr="00C158D9" w:rsidRDefault="00FC2CF5" w:rsidP="00FC2CF5">
      <w:pPr>
        <w:widowControl w:val="0"/>
        <w:autoSpaceDE w:val="0"/>
        <w:autoSpaceDN w:val="0"/>
        <w:adjustRightInd w:val="0"/>
        <w:ind w:right="22"/>
        <w:jc w:val="both"/>
        <w:rPr>
          <w:rFonts w:ascii="Ping LCG Regular" w:hAnsi="Ping LCG Regular" w:cs="Arial"/>
          <w:spacing w:val="-14"/>
          <w:lang w:val="el-GR"/>
        </w:rPr>
      </w:pPr>
    </w:p>
    <w:p w14:paraId="4C88369E" w14:textId="52744AC1" w:rsidR="00BC0B5F" w:rsidRPr="008B2FFE" w:rsidRDefault="00896C6B" w:rsidP="007F675C">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896C6B">
        <w:rPr>
          <w:rFonts w:ascii="Ping LCG Regular" w:hAnsi="Ping LCG Regular" w:cs="Arial"/>
          <w:spacing w:val="-14"/>
          <w:lang w:val="el-GR"/>
        </w:rPr>
        <w:t xml:space="preserve">Η δαπάνη για δικαιώματα εκπομπών </w:t>
      </w:r>
      <w:r w:rsidR="0008698B" w:rsidRPr="0008698B">
        <w:rPr>
          <w:rFonts w:ascii="Ping LCG Regular" w:hAnsi="Ping LCG Regular" w:cs="Arial"/>
          <w:spacing w:val="-14"/>
          <w:lang w:val="el-GR"/>
        </w:rPr>
        <w:t>CO</w:t>
      </w:r>
      <w:r w:rsidR="0008698B" w:rsidRPr="00445582">
        <w:rPr>
          <w:rFonts w:ascii="Ping LCG Regular" w:hAnsi="Ping LCG Regular" w:cs="Arial"/>
          <w:spacing w:val="-14"/>
          <w:vertAlign w:val="subscript"/>
          <w:lang w:val="el-GR"/>
        </w:rPr>
        <w:t>2</w:t>
      </w:r>
      <w:r w:rsidRPr="00896C6B">
        <w:rPr>
          <w:rFonts w:ascii="Ping LCG Regular" w:hAnsi="Ping LCG Regular" w:cs="Arial"/>
          <w:spacing w:val="-14"/>
          <w:lang w:val="el-GR"/>
        </w:rPr>
        <w:t xml:space="preserve"> αυξήθηκε σε €699,2 εκατ. το 2021 από €393,5 εκατ. το 2020, κυρίως λόγω της αύξησης  της μέσης τιμής προμήθειας δικαιωμάτων εκπομπών </w:t>
      </w:r>
      <w:r w:rsidR="0008698B" w:rsidRPr="0008698B">
        <w:rPr>
          <w:rFonts w:ascii="Ping LCG Regular" w:hAnsi="Ping LCG Regular" w:cs="Arial"/>
          <w:spacing w:val="-14"/>
          <w:lang w:val="el-GR"/>
        </w:rPr>
        <w:t>CO</w:t>
      </w:r>
      <w:r w:rsidR="0008698B" w:rsidRPr="00263C74">
        <w:rPr>
          <w:rFonts w:ascii="Ping LCG Regular" w:hAnsi="Ping LCG Regular" w:cs="Arial"/>
          <w:spacing w:val="-14"/>
          <w:vertAlign w:val="subscript"/>
          <w:lang w:val="el-GR"/>
        </w:rPr>
        <w:t>2</w:t>
      </w:r>
      <w:r w:rsidR="0008698B" w:rsidRPr="00896C6B">
        <w:rPr>
          <w:rFonts w:ascii="Ping LCG Regular" w:hAnsi="Ping LCG Regular" w:cs="Arial"/>
          <w:spacing w:val="-14"/>
          <w:lang w:val="el-GR"/>
        </w:rPr>
        <w:t xml:space="preserve"> </w:t>
      </w:r>
      <w:r w:rsidRPr="00896C6B">
        <w:rPr>
          <w:rFonts w:ascii="Ping LCG Regular" w:hAnsi="Ping LCG Regular" w:cs="Arial"/>
          <w:spacing w:val="-14"/>
          <w:lang w:val="el-GR"/>
        </w:rPr>
        <w:t xml:space="preserve"> από τη ΔΕΗ σε €44,9/τόνο από €25,6/τόνο και σε λιγότερο βαθμό λόγω της αύξησης των ποσοτήτων </w:t>
      </w:r>
      <w:r w:rsidR="0008698B" w:rsidRPr="0008698B">
        <w:rPr>
          <w:rFonts w:ascii="Ping LCG Regular" w:hAnsi="Ping LCG Regular" w:cs="Arial"/>
          <w:spacing w:val="-14"/>
          <w:lang w:val="el-GR"/>
        </w:rPr>
        <w:t>CO</w:t>
      </w:r>
      <w:r w:rsidR="0008698B" w:rsidRPr="00263C74">
        <w:rPr>
          <w:rFonts w:ascii="Ping LCG Regular" w:hAnsi="Ping LCG Regular" w:cs="Arial"/>
          <w:spacing w:val="-14"/>
          <w:vertAlign w:val="subscript"/>
          <w:lang w:val="el-GR"/>
        </w:rPr>
        <w:t>2</w:t>
      </w:r>
      <w:r w:rsidR="0008698B" w:rsidRPr="00896C6B">
        <w:rPr>
          <w:rFonts w:ascii="Ping LCG Regular" w:hAnsi="Ping LCG Regular" w:cs="Arial"/>
          <w:spacing w:val="-14"/>
          <w:lang w:val="el-GR"/>
        </w:rPr>
        <w:t xml:space="preserve"> </w:t>
      </w:r>
      <w:r w:rsidRPr="00896C6B">
        <w:rPr>
          <w:rFonts w:ascii="Ping LCG Regular" w:hAnsi="Ping LCG Regular" w:cs="Arial"/>
          <w:spacing w:val="-14"/>
          <w:lang w:val="el-GR"/>
        </w:rPr>
        <w:t xml:space="preserve"> κατά 2</w:t>
      </w:r>
      <w:r w:rsidR="002879A3" w:rsidRPr="002879A3">
        <w:rPr>
          <w:rFonts w:ascii="Ping LCG Regular" w:hAnsi="Ping LCG Regular" w:cs="Arial"/>
          <w:spacing w:val="-14"/>
          <w:lang w:val="el-GR"/>
        </w:rPr>
        <w:t>,1</w:t>
      </w:r>
      <w:r w:rsidRPr="00896C6B">
        <w:rPr>
          <w:rFonts w:ascii="Ping LCG Regular" w:hAnsi="Ping LCG Regular" w:cs="Arial"/>
          <w:spacing w:val="-14"/>
          <w:lang w:val="el-GR"/>
        </w:rPr>
        <w:t xml:space="preserve">% σε 15,8 εκατ. τόνους. Ειδικά το δ’ τρίμηνο 2021 η δαπάνη για δικαιώματα εκπομπών </w:t>
      </w:r>
      <w:r w:rsidR="0008698B" w:rsidRPr="0008698B">
        <w:rPr>
          <w:rFonts w:ascii="Ping LCG Regular" w:hAnsi="Ping LCG Regular" w:cs="Arial"/>
          <w:spacing w:val="-14"/>
          <w:lang w:val="el-GR"/>
        </w:rPr>
        <w:t>CO</w:t>
      </w:r>
      <w:r w:rsidR="0008698B" w:rsidRPr="00263C74">
        <w:rPr>
          <w:rFonts w:ascii="Ping LCG Regular" w:hAnsi="Ping LCG Regular" w:cs="Arial"/>
          <w:spacing w:val="-14"/>
          <w:vertAlign w:val="subscript"/>
          <w:lang w:val="el-GR"/>
        </w:rPr>
        <w:t>2</w:t>
      </w:r>
      <w:r w:rsidR="0008698B" w:rsidRPr="00896C6B">
        <w:rPr>
          <w:rFonts w:ascii="Ping LCG Regular" w:hAnsi="Ping LCG Regular" w:cs="Arial"/>
          <w:spacing w:val="-14"/>
          <w:lang w:val="el-GR"/>
        </w:rPr>
        <w:t xml:space="preserve"> </w:t>
      </w:r>
      <w:r w:rsidRPr="00896C6B">
        <w:rPr>
          <w:rFonts w:ascii="Ping LCG Regular" w:hAnsi="Ping LCG Regular" w:cs="Arial"/>
          <w:spacing w:val="-14"/>
          <w:lang w:val="el-GR"/>
        </w:rPr>
        <w:t xml:space="preserve"> αυξήθηκε κατά 22,5% σε €159,8 εκατ. από €130,4 εκατ. το δ’ τρίμηνο 2020</w:t>
      </w:r>
      <w:r w:rsidR="00B37264">
        <w:rPr>
          <w:rFonts w:ascii="Ping LCG Regular" w:hAnsi="Ping LCG Regular" w:cs="Arial"/>
          <w:spacing w:val="-14"/>
          <w:lang w:val="el-GR"/>
        </w:rPr>
        <w:t>.</w:t>
      </w:r>
      <w:r w:rsidRPr="00896C6B">
        <w:rPr>
          <w:rFonts w:ascii="Ping LCG Regular" w:hAnsi="Ping LCG Regular" w:cs="Arial"/>
          <w:spacing w:val="-14"/>
          <w:lang w:val="el-GR"/>
        </w:rPr>
        <w:t xml:space="preserve"> </w:t>
      </w:r>
      <w:r w:rsidR="00B37264">
        <w:rPr>
          <w:rFonts w:ascii="Ping LCG Regular" w:hAnsi="Ping LCG Regular" w:cs="Arial"/>
          <w:color w:val="FF0000"/>
          <w:spacing w:val="-14"/>
          <w:lang w:val="el-GR"/>
        </w:rPr>
        <w:t xml:space="preserve"> </w:t>
      </w:r>
    </w:p>
    <w:p w14:paraId="31B25CBD" w14:textId="60FB8DFF" w:rsidR="00C368A0" w:rsidRPr="00B8508A" w:rsidRDefault="00C368A0" w:rsidP="00C368A0">
      <w:pPr>
        <w:widowControl w:val="0"/>
        <w:autoSpaceDE w:val="0"/>
        <w:autoSpaceDN w:val="0"/>
        <w:adjustRightInd w:val="0"/>
        <w:ind w:right="22"/>
        <w:jc w:val="both"/>
        <w:rPr>
          <w:rFonts w:ascii="Ping LCG Regular" w:hAnsi="Ping LCG Regular" w:cs="Arial"/>
          <w:spacing w:val="-14"/>
          <w:lang w:val="el-GR"/>
        </w:rPr>
      </w:pPr>
    </w:p>
    <w:p w14:paraId="7075CD4E" w14:textId="77777777" w:rsidR="000E2981" w:rsidRPr="00C158D9" w:rsidRDefault="008C254D" w:rsidP="000E2981">
      <w:pPr>
        <w:widowControl w:val="0"/>
        <w:autoSpaceDE w:val="0"/>
        <w:autoSpaceDN w:val="0"/>
        <w:adjustRightInd w:val="0"/>
        <w:ind w:right="22"/>
        <w:jc w:val="both"/>
        <w:rPr>
          <w:rFonts w:ascii="Ping LCG Regular" w:hAnsi="Ping LCG Regular" w:cs="Arial"/>
          <w:spacing w:val="-14"/>
          <w:lang w:val="el-GR"/>
        </w:rPr>
      </w:pPr>
      <w:bookmarkStart w:id="7" w:name="_Hlk88922406"/>
      <w:r w:rsidRPr="00605E8C">
        <w:rPr>
          <w:rFonts w:ascii="Ping LCG Regular" w:hAnsi="Ping LCG Regular" w:cs="Arial"/>
          <w:spacing w:val="-14"/>
          <w:lang w:val="el-GR"/>
        </w:rPr>
        <w:t>Στις δαπάνες για φυσικό αέριο και αγορές ενέργειας</w:t>
      </w:r>
      <w:r w:rsidR="000E2981" w:rsidRPr="00605E8C">
        <w:rPr>
          <w:rFonts w:ascii="Ping LCG Regular" w:hAnsi="Ping LCG Regular" w:cs="Arial"/>
          <w:spacing w:val="-14"/>
          <w:lang w:val="el-GR"/>
        </w:rPr>
        <w:t xml:space="preserve"> έχει συνυπολογισθεί και η θετική επίπτωση από τη</w:t>
      </w:r>
      <w:r w:rsidR="005336C9" w:rsidRPr="00605E8C">
        <w:rPr>
          <w:rFonts w:ascii="Ping LCG Regular" w:hAnsi="Ping LCG Regular" w:cs="Arial"/>
          <w:spacing w:val="-14"/>
          <w:lang w:val="el-GR"/>
        </w:rPr>
        <w:t xml:space="preserve"> διενέργεια  πράξεων για την αντιστάθμιση του κινδύνου της διακύμανσης των τιμών</w:t>
      </w:r>
      <w:r w:rsidR="000E2981" w:rsidRPr="00605E8C">
        <w:rPr>
          <w:rFonts w:ascii="Ping LCG Regular" w:hAnsi="Ping LCG Regular" w:cs="Arial"/>
          <w:spacing w:val="-14"/>
          <w:lang w:val="el-GR"/>
        </w:rPr>
        <w:t>.</w:t>
      </w:r>
    </w:p>
    <w:bookmarkEnd w:id="7"/>
    <w:p w14:paraId="70F5D1D3" w14:textId="77777777" w:rsidR="00D43C71" w:rsidRPr="00256E4B" w:rsidRDefault="00D43C71" w:rsidP="00256E4B">
      <w:pPr>
        <w:widowControl w:val="0"/>
        <w:autoSpaceDE w:val="0"/>
        <w:autoSpaceDN w:val="0"/>
        <w:adjustRightInd w:val="0"/>
        <w:ind w:right="22"/>
        <w:jc w:val="both"/>
        <w:rPr>
          <w:rFonts w:ascii="Ping LCG Regular" w:hAnsi="Ping LCG Regular" w:cs="Arial"/>
          <w:spacing w:val="-14"/>
          <w:lang w:val="el-GR"/>
        </w:rPr>
      </w:pPr>
    </w:p>
    <w:p w14:paraId="7EB7821C" w14:textId="77777777" w:rsidR="009C7DD4" w:rsidRPr="003E5B66" w:rsidRDefault="009C7DD4" w:rsidP="00465824">
      <w:pPr>
        <w:widowControl w:val="0"/>
        <w:autoSpaceDE w:val="0"/>
        <w:autoSpaceDN w:val="0"/>
        <w:adjustRightInd w:val="0"/>
        <w:ind w:left="1" w:right="18"/>
        <w:rPr>
          <w:rFonts w:ascii="Ping LCG Regular" w:hAnsi="Ping LCG Regular" w:cs="Arial"/>
          <w:bCs/>
          <w:spacing w:val="-14"/>
          <w:szCs w:val="26"/>
          <w:u w:val="single"/>
          <w:lang w:val="el-GR"/>
        </w:rPr>
      </w:pPr>
      <w:bookmarkStart w:id="8" w:name="_Hlk69124916"/>
      <w:bookmarkStart w:id="9" w:name="_Hlk68249890"/>
      <w:bookmarkStart w:id="10" w:name="_Hlk72363281"/>
      <w:bookmarkStart w:id="11" w:name="_Hlk88594200"/>
      <w:bookmarkStart w:id="12" w:name="_Hlk81171604"/>
      <w:r w:rsidRPr="003E5B66">
        <w:rPr>
          <w:rFonts w:ascii="Ping LCG Regular" w:hAnsi="Ping LCG Regular" w:cs="Arial"/>
          <w:bCs/>
          <w:spacing w:val="-14"/>
          <w:szCs w:val="26"/>
          <w:u w:val="single"/>
          <w:lang w:val="el-GR"/>
        </w:rPr>
        <w:t xml:space="preserve">Δαπάνες Μισθοδοσίας  </w:t>
      </w:r>
    </w:p>
    <w:p w14:paraId="6107712B" w14:textId="77777777" w:rsidR="009C7DD4" w:rsidRPr="003E5B66" w:rsidRDefault="009C7DD4" w:rsidP="009C7DD4">
      <w:pPr>
        <w:pStyle w:val="af1"/>
        <w:rPr>
          <w:rFonts w:ascii="Ping LCG Regular" w:eastAsiaTheme="minorHAnsi" w:hAnsi="Ping LCG Regular" w:cs="Arial"/>
          <w:bCs/>
          <w:spacing w:val="-14"/>
          <w:szCs w:val="26"/>
          <w:lang w:eastAsia="en-US"/>
        </w:rPr>
      </w:pPr>
      <w:r w:rsidRPr="003E5B66">
        <w:rPr>
          <w:rFonts w:ascii="Ping LCG Regular" w:eastAsiaTheme="minorHAnsi" w:hAnsi="Ping LCG Regular" w:cs="Arial"/>
          <w:bCs/>
          <w:spacing w:val="-14"/>
          <w:szCs w:val="26"/>
          <w:lang w:eastAsia="en-US"/>
        </w:rPr>
        <w:t xml:space="preserve"> </w:t>
      </w:r>
    </w:p>
    <w:p w14:paraId="4044894C" w14:textId="54637B2E" w:rsidR="00FA1B6E" w:rsidRPr="00B26EE8" w:rsidRDefault="00FA1B6E" w:rsidP="00A249A6">
      <w:pPr>
        <w:widowControl w:val="0"/>
        <w:autoSpaceDE w:val="0"/>
        <w:autoSpaceDN w:val="0"/>
        <w:adjustRightInd w:val="0"/>
        <w:ind w:right="20"/>
        <w:jc w:val="both"/>
        <w:rPr>
          <w:rFonts w:ascii="Ping LCG Regular" w:hAnsi="Ping LCG Regular" w:cs="Arial"/>
          <w:bCs/>
          <w:spacing w:val="-14"/>
          <w:szCs w:val="26"/>
          <w:highlight w:val="yellow"/>
          <w:lang w:val="el-GR"/>
        </w:rPr>
      </w:pPr>
      <w:bookmarkStart w:id="13" w:name="_Hlk88594025"/>
      <w:bookmarkEnd w:id="8"/>
      <w:bookmarkEnd w:id="9"/>
      <w:bookmarkEnd w:id="10"/>
      <w:r w:rsidRPr="00FA1B6E">
        <w:rPr>
          <w:rFonts w:ascii="Ping LCG Regular" w:hAnsi="Ping LCG Regular" w:cs="Arial"/>
          <w:bCs/>
          <w:spacing w:val="-14"/>
          <w:szCs w:val="26"/>
          <w:lang w:val="el-GR"/>
        </w:rPr>
        <w:t>Η δαπάνη μισθοδοσίας χωρίς τις εφάπαξ επιπτώσεις, παρέμεινε ουσιαστικά στα ίδια με πέρυσι επίπεδα δηλαδή στα €679,7 εκατ. το 2021 (από €677,8 εκατ. το 2020)</w:t>
      </w:r>
      <w:r w:rsidR="00DC45D0">
        <w:rPr>
          <w:rFonts w:ascii="Ping LCG Regular" w:hAnsi="Ping LCG Regular" w:cs="Arial"/>
          <w:bCs/>
          <w:spacing w:val="-14"/>
          <w:szCs w:val="26"/>
          <w:lang w:val="el-GR"/>
        </w:rPr>
        <w:t xml:space="preserve"> λόγω της άρσης του πλαφόν </w:t>
      </w:r>
      <w:r w:rsidR="003315C7">
        <w:rPr>
          <w:rFonts w:ascii="Ping LCG Regular" w:hAnsi="Ping LCG Regular" w:cs="Arial"/>
          <w:bCs/>
          <w:spacing w:val="-14"/>
          <w:szCs w:val="26"/>
          <w:lang w:val="el-GR"/>
        </w:rPr>
        <w:t xml:space="preserve">στη μισθοδοσία του προσωπικού του Ομίλου καθώς </w:t>
      </w:r>
      <w:r w:rsidR="007974E6">
        <w:rPr>
          <w:rFonts w:ascii="Ping LCG Regular" w:hAnsi="Ping LCG Regular" w:cs="Arial"/>
          <w:bCs/>
          <w:spacing w:val="-14"/>
          <w:szCs w:val="26"/>
          <w:lang w:val="el-GR"/>
        </w:rPr>
        <w:t xml:space="preserve">και της </w:t>
      </w:r>
      <w:proofErr w:type="spellStart"/>
      <w:r w:rsidR="007974E6">
        <w:rPr>
          <w:rFonts w:ascii="Ping LCG Regular" w:hAnsi="Ping LCG Regular" w:cs="Arial"/>
          <w:bCs/>
          <w:spacing w:val="-14"/>
          <w:szCs w:val="26"/>
          <w:lang w:val="el-GR"/>
        </w:rPr>
        <w:t>επαναχορήγησης</w:t>
      </w:r>
      <w:proofErr w:type="spellEnd"/>
      <w:r w:rsidR="007974E6">
        <w:rPr>
          <w:rFonts w:ascii="Ping LCG Regular" w:hAnsi="Ping LCG Regular" w:cs="Arial"/>
          <w:bCs/>
          <w:spacing w:val="-14"/>
          <w:szCs w:val="26"/>
          <w:lang w:val="el-GR"/>
        </w:rPr>
        <w:t xml:space="preserve"> </w:t>
      </w:r>
      <w:r w:rsidR="00EF3807">
        <w:rPr>
          <w:rFonts w:ascii="Ping LCG Regular" w:hAnsi="Ping LCG Regular" w:cs="Arial"/>
          <w:bCs/>
          <w:spacing w:val="-14"/>
          <w:szCs w:val="26"/>
          <w:lang w:val="el-GR"/>
        </w:rPr>
        <w:t>δώρων Χριστουγέννων και Πάσχα.</w:t>
      </w:r>
      <w:r w:rsidRPr="00FA1B6E">
        <w:rPr>
          <w:rFonts w:ascii="Ping LCG Regular" w:hAnsi="Ping LCG Regular" w:cs="Arial"/>
          <w:bCs/>
          <w:spacing w:val="-14"/>
          <w:szCs w:val="26"/>
          <w:lang w:val="el-GR"/>
        </w:rPr>
        <w:t xml:space="preserve"> Οι αποχωρήσεις τακτικού προσωπικού λόγω συνταξιοδότησης ανήλθαν σε 890 εργαζόμενους (από 13.799 εργαζόμενους στο τέλος του 2020 σε 12.909 εργαζομένους στο τέλος του 2021). </w:t>
      </w:r>
    </w:p>
    <w:bookmarkEnd w:id="11"/>
    <w:bookmarkEnd w:id="13"/>
    <w:p w14:paraId="3704ED1B" w14:textId="2929C53B" w:rsidR="00A019E6" w:rsidRPr="00B26EE8" w:rsidRDefault="00A019E6" w:rsidP="00A249A6">
      <w:pPr>
        <w:widowControl w:val="0"/>
        <w:autoSpaceDE w:val="0"/>
        <w:autoSpaceDN w:val="0"/>
        <w:adjustRightInd w:val="0"/>
        <w:ind w:right="20"/>
        <w:jc w:val="both"/>
        <w:rPr>
          <w:rFonts w:ascii="Ping LCG Regular" w:hAnsi="Ping LCG Regular" w:cs="Arial"/>
          <w:bCs/>
          <w:spacing w:val="-14"/>
          <w:szCs w:val="26"/>
          <w:highlight w:val="yellow"/>
          <w:lang w:val="el-GR"/>
        </w:rPr>
      </w:pPr>
    </w:p>
    <w:p w14:paraId="7C6890F8" w14:textId="12CF59B3" w:rsidR="00A019E6" w:rsidRPr="00EA446E" w:rsidRDefault="00A019E6" w:rsidP="00A019E6">
      <w:pPr>
        <w:widowControl w:val="0"/>
        <w:autoSpaceDE w:val="0"/>
        <w:autoSpaceDN w:val="0"/>
        <w:adjustRightInd w:val="0"/>
        <w:ind w:left="1" w:right="18"/>
        <w:rPr>
          <w:rFonts w:ascii="Ping LCG Regular" w:hAnsi="Ping LCG Regular" w:cs="Arial"/>
          <w:bCs/>
          <w:spacing w:val="-14"/>
          <w:szCs w:val="26"/>
          <w:u w:val="single"/>
          <w:lang w:val="el-GR"/>
        </w:rPr>
      </w:pPr>
      <w:r w:rsidRPr="00EA446E">
        <w:rPr>
          <w:rFonts w:ascii="Ping LCG Regular" w:hAnsi="Ping LCG Regular" w:cs="Arial"/>
          <w:bCs/>
          <w:spacing w:val="-14"/>
          <w:szCs w:val="26"/>
          <w:u w:val="single"/>
          <w:lang w:val="el-GR"/>
        </w:rPr>
        <w:t>Προβλέψεις</w:t>
      </w:r>
    </w:p>
    <w:p w14:paraId="37B0D68F" w14:textId="77777777" w:rsidR="00A019E6" w:rsidRPr="00EA446E" w:rsidRDefault="00A019E6" w:rsidP="00A019E6">
      <w:pPr>
        <w:widowControl w:val="0"/>
        <w:autoSpaceDE w:val="0"/>
        <w:autoSpaceDN w:val="0"/>
        <w:adjustRightInd w:val="0"/>
        <w:ind w:right="20"/>
        <w:jc w:val="both"/>
        <w:rPr>
          <w:rFonts w:ascii="Ping LCG Regular" w:hAnsi="Ping LCG Regular" w:cs="Arial"/>
          <w:b/>
          <w:spacing w:val="-14"/>
          <w:szCs w:val="26"/>
          <w:lang w:val="el-GR"/>
        </w:rPr>
      </w:pPr>
    </w:p>
    <w:p w14:paraId="69B70E21" w14:textId="25B62AC4" w:rsidR="00570F84" w:rsidRPr="00101D3E" w:rsidRDefault="00A019E6" w:rsidP="00BE156D">
      <w:pPr>
        <w:widowControl w:val="0"/>
        <w:autoSpaceDE w:val="0"/>
        <w:autoSpaceDN w:val="0"/>
        <w:adjustRightInd w:val="0"/>
        <w:ind w:right="20"/>
        <w:jc w:val="both"/>
        <w:rPr>
          <w:rFonts w:ascii="Ping LCG Regular" w:hAnsi="Ping LCG Regular" w:cs="Arial"/>
          <w:bCs/>
          <w:strike/>
          <w:spacing w:val="-14"/>
          <w:szCs w:val="26"/>
          <w:lang w:val="el-GR"/>
        </w:rPr>
      </w:pPr>
      <w:r w:rsidRPr="00EA446E">
        <w:rPr>
          <w:rFonts w:ascii="Ping LCG Regular" w:hAnsi="Ping LCG Regular" w:cs="Arial"/>
          <w:bCs/>
          <w:spacing w:val="-14"/>
          <w:szCs w:val="26"/>
          <w:lang w:val="el-GR"/>
        </w:rPr>
        <w:t xml:space="preserve">Το 2021  καταγράφηκε αντιστροφή των προβλέψεων για επισφαλείς απαιτήσεις πελατών ύψους € </w:t>
      </w:r>
      <w:r w:rsidR="00EA446E" w:rsidRPr="00EA446E">
        <w:rPr>
          <w:rFonts w:ascii="Ping LCG Regular" w:hAnsi="Ping LCG Regular" w:cs="Arial"/>
          <w:bCs/>
          <w:spacing w:val="-14"/>
          <w:szCs w:val="26"/>
          <w:lang w:val="el-GR"/>
        </w:rPr>
        <w:t>5</w:t>
      </w:r>
      <w:r w:rsidR="00101D3E">
        <w:rPr>
          <w:rFonts w:ascii="Ping LCG Regular" w:hAnsi="Ping LCG Regular" w:cs="Arial"/>
          <w:bCs/>
          <w:spacing w:val="-14"/>
          <w:szCs w:val="26"/>
          <w:lang w:val="el-GR"/>
        </w:rPr>
        <w:t>9</w:t>
      </w:r>
      <w:r w:rsidR="00EA446E" w:rsidRPr="00EA446E">
        <w:rPr>
          <w:rFonts w:ascii="Ping LCG Regular" w:hAnsi="Ping LCG Regular" w:cs="Arial"/>
          <w:bCs/>
          <w:spacing w:val="-14"/>
          <w:szCs w:val="26"/>
          <w:lang w:val="el-GR"/>
        </w:rPr>
        <w:t>,</w:t>
      </w:r>
      <w:r w:rsidR="00101D3E">
        <w:rPr>
          <w:rFonts w:ascii="Ping LCG Regular" w:hAnsi="Ping LCG Regular" w:cs="Arial"/>
          <w:bCs/>
          <w:spacing w:val="-14"/>
          <w:szCs w:val="26"/>
          <w:lang w:val="el-GR"/>
        </w:rPr>
        <w:t>7</w:t>
      </w:r>
      <w:r w:rsidR="00965E00" w:rsidRPr="00EA446E">
        <w:rPr>
          <w:rFonts w:ascii="Ping LCG Regular" w:hAnsi="Ping LCG Regular" w:cs="Arial"/>
          <w:bCs/>
          <w:spacing w:val="-14"/>
          <w:szCs w:val="26"/>
          <w:lang w:val="el-GR"/>
        </w:rPr>
        <w:t xml:space="preserve"> ε</w:t>
      </w:r>
      <w:r w:rsidRPr="00EA446E">
        <w:rPr>
          <w:rFonts w:ascii="Ping LCG Regular" w:hAnsi="Ping LCG Regular" w:cs="Arial"/>
          <w:bCs/>
          <w:spacing w:val="-14"/>
          <w:szCs w:val="26"/>
          <w:lang w:val="el-GR"/>
        </w:rPr>
        <w:t xml:space="preserve">κατ. έναντι αύξησης των προβλέψεων πέρυσι ύψους € </w:t>
      </w:r>
      <w:r w:rsidR="00101D3E">
        <w:rPr>
          <w:rFonts w:ascii="Ping LCG Regular" w:hAnsi="Ping LCG Regular" w:cs="Arial"/>
          <w:bCs/>
          <w:spacing w:val="-14"/>
          <w:szCs w:val="26"/>
          <w:lang w:val="el-GR"/>
        </w:rPr>
        <w:t>61,9</w:t>
      </w:r>
      <w:r w:rsidRPr="00EA446E">
        <w:rPr>
          <w:rFonts w:ascii="Ping LCG Regular" w:hAnsi="Ping LCG Regular" w:cs="Arial"/>
          <w:bCs/>
          <w:spacing w:val="-14"/>
          <w:szCs w:val="26"/>
          <w:lang w:val="el-GR"/>
        </w:rPr>
        <w:t xml:space="preserve"> εκατ.</w:t>
      </w:r>
      <w:r w:rsidR="002B2838" w:rsidRPr="00EA446E">
        <w:rPr>
          <w:rFonts w:ascii="Ping LCG Regular" w:hAnsi="Ping LCG Regular" w:cs="Arial"/>
          <w:bCs/>
          <w:spacing w:val="-14"/>
          <w:szCs w:val="26"/>
          <w:lang w:val="el-GR"/>
        </w:rPr>
        <w:t xml:space="preserve"> λόγω </w:t>
      </w:r>
      <w:r w:rsidR="00B53450" w:rsidRPr="00EA446E">
        <w:rPr>
          <w:rFonts w:ascii="Ping LCG Regular" w:hAnsi="Ping LCG Regular" w:cs="Arial"/>
          <w:bCs/>
          <w:spacing w:val="-14"/>
          <w:szCs w:val="26"/>
          <w:lang w:val="el-GR"/>
        </w:rPr>
        <w:t>των δράσεων που έχουν αναληφθεί για τη βελτίωση των εισπράξεων</w:t>
      </w:r>
      <w:bookmarkEnd w:id="12"/>
      <w:r w:rsidR="00B53450" w:rsidRPr="00EA446E">
        <w:rPr>
          <w:rFonts w:ascii="Ping LCG Regular" w:hAnsi="Ping LCG Regular" w:cs="Arial"/>
          <w:bCs/>
          <w:spacing w:val="-14"/>
          <w:szCs w:val="26"/>
          <w:lang w:val="el-GR"/>
        </w:rPr>
        <w:t>.</w:t>
      </w:r>
      <w:r w:rsidR="00EA446E" w:rsidRPr="00EA446E">
        <w:rPr>
          <w:rFonts w:ascii="Ping LCG Regular" w:hAnsi="Ping LCG Regular" w:cs="Arial"/>
          <w:bCs/>
          <w:spacing w:val="-14"/>
          <w:szCs w:val="26"/>
          <w:lang w:val="el-GR"/>
        </w:rPr>
        <w:t xml:space="preserve"> </w:t>
      </w:r>
    </w:p>
    <w:p w14:paraId="2F9654E7" w14:textId="26903EA9" w:rsidR="001F7C40" w:rsidRPr="00EA446E" w:rsidRDefault="001F7C40" w:rsidP="00BE156D">
      <w:pPr>
        <w:widowControl w:val="0"/>
        <w:autoSpaceDE w:val="0"/>
        <w:autoSpaceDN w:val="0"/>
        <w:adjustRightInd w:val="0"/>
        <w:ind w:right="20"/>
        <w:jc w:val="both"/>
        <w:rPr>
          <w:rFonts w:ascii="Ping LCG Regular" w:hAnsi="Ping LCG Regular" w:cs="Arial"/>
          <w:bCs/>
          <w:spacing w:val="-14"/>
          <w:szCs w:val="26"/>
          <w:lang w:val="el-GR"/>
        </w:rPr>
      </w:pPr>
    </w:p>
    <w:p w14:paraId="06C08F1F" w14:textId="77777777" w:rsidR="005A58DE" w:rsidRPr="004D0AB2" w:rsidRDefault="005A58DE" w:rsidP="00BE156D">
      <w:pPr>
        <w:widowControl w:val="0"/>
        <w:autoSpaceDE w:val="0"/>
        <w:autoSpaceDN w:val="0"/>
        <w:adjustRightInd w:val="0"/>
        <w:ind w:right="20"/>
        <w:jc w:val="both"/>
        <w:rPr>
          <w:rFonts w:ascii="Ping LCG Regular" w:hAnsi="Ping LCG Regular" w:cs="Arial"/>
          <w:bCs/>
          <w:spacing w:val="-14"/>
          <w:szCs w:val="26"/>
          <w:highlight w:val="yellow"/>
          <w:lang w:val="el-GR"/>
        </w:rPr>
      </w:pPr>
    </w:p>
    <w:p w14:paraId="11A31BC7" w14:textId="079F7782" w:rsidR="00FE7DED" w:rsidRPr="00EA446E" w:rsidRDefault="00FE7DED" w:rsidP="00851841">
      <w:pPr>
        <w:widowControl w:val="0"/>
        <w:autoSpaceDE w:val="0"/>
        <w:autoSpaceDN w:val="0"/>
        <w:adjustRightInd w:val="0"/>
        <w:ind w:right="20"/>
        <w:jc w:val="both"/>
        <w:rPr>
          <w:rFonts w:ascii="Ping LCG Regular" w:hAnsi="Ping LCG Regular" w:cs="Arial"/>
          <w:b/>
          <w:spacing w:val="-14"/>
          <w:szCs w:val="26"/>
          <w:lang w:val="el-GR"/>
        </w:rPr>
      </w:pPr>
      <w:r w:rsidRPr="00EA446E">
        <w:rPr>
          <w:rFonts w:ascii="Ping LCG Regular" w:hAnsi="Ping LCG Regular" w:cs="Arial"/>
          <w:b/>
          <w:spacing w:val="-14"/>
          <w:szCs w:val="26"/>
          <w:lang w:val="el-GR"/>
        </w:rPr>
        <w:t>Εφάπαξ επιπτώσεις στο EBITDA</w:t>
      </w:r>
    </w:p>
    <w:p w14:paraId="31EF8006" w14:textId="3D252C03" w:rsidR="00FE7DED" w:rsidRPr="00101D3E" w:rsidRDefault="00FE7DED" w:rsidP="00FE7DED">
      <w:pPr>
        <w:jc w:val="both"/>
        <w:rPr>
          <w:rFonts w:ascii="Ping LCG Regular" w:hAnsi="Ping LCG Regular" w:cs="Arial"/>
          <w:spacing w:val="-14"/>
          <w:lang w:val="el-GR"/>
        </w:rPr>
      </w:pPr>
      <w:r w:rsidRPr="00101D3E">
        <w:rPr>
          <w:rFonts w:ascii="Ping LCG Regular" w:hAnsi="Ping LCG Regular" w:cs="Arial"/>
          <w:spacing w:val="-14"/>
          <w:lang w:val="el-GR"/>
        </w:rPr>
        <w:t xml:space="preserve">Το </w:t>
      </w:r>
      <w:r w:rsidRPr="00101D3E">
        <w:rPr>
          <w:rFonts w:ascii="Ping LCG Regular" w:hAnsi="Ping LCG Regular" w:cs="Arial"/>
          <w:spacing w:val="-14"/>
        </w:rPr>
        <w:t>EBITDA</w:t>
      </w:r>
      <w:r w:rsidRPr="00101D3E">
        <w:rPr>
          <w:rFonts w:ascii="Ping LCG Regular" w:hAnsi="Ping LCG Regular" w:cs="Arial"/>
          <w:spacing w:val="-14"/>
          <w:lang w:val="el-GR"/>
        </w:rPr>
        <w:t xml:space="preserve"> του </w:t>
      </w:r>
      <w:r w:rsidR="00F9037B" w:rsidRPr="00101D3E">
        <w:rPr>
          <w:rFonts w:ascii="Ping LCG Regular" w:hAnsi="Ping LCG Regular" w:cs="Arial"/>
          <w:spacing w:val="-14"/>
          <w:lang w:val="el-GR"/>
        </w:rPr>
        <w:t xml:space="preserve">2021 </w:t>
      </w:r>
      <w:r w:rsidRPr="00101D3E">
        <w:rPr>
          <w:rFonts w:ascii="Ping LCG Regular" w:hAnsi="Ping LCG Regular" w:cs="Arial"/>
          <w:spacing w:val="-14"/>
          <w:lang w:val="el-GR"/>
        </w:rPr>
        <w:t xml:space="preserve"> όπως και αυτό του </w:t>
      </w:r>
      <w:r w:rsidR="00F9037B" w:rsidRPr="00101D3E">
        <w:rPr>
          <w:rFonts w:ascii="Ping LCG Regular" w:hAnsi="Ping LCG Regular" w:cs="Arial"/>
          <w:spacing w:val="-14"/>
          <w:lang w:val="el-GR"/>
        </w:rPr>
        <w:t xml:space="preserve">2020 </w:t>
      </w:r>
      <w:r w:rsidRPr="00101D3E">
        <w:rPr>
          <w:rFonts w:ascii="Ping LCG Regular" w:hAnsi="Ping LCG Regular" w:cs="Arial"/>
          <w:spacing w:val="-14"/>
          <w:lang w:val="el-GR"/>
        </w:rPr>
        <w:t xml:space="preserve"> επηρεάστηκε και από ορισμένες εφάπαξ επιπτώσεις. Συγκεκριμένα:</w:t>
      </w:r>
    </w:p>
    <w:p w14:paraId="4C0F3E98" w14:textId="26E74DA7" w:rsidR="00FE7DED" w:rsidRPr="00101D3E" w:rsidRDefault="00FE7DED" w:rsidP="00FE7DED">
      <w:pPr>
        <w:pStyle w:val="af1"/>
        <w:numPr>
          <w:ilvl w:val="0"/>
          <w:numId w:val="8"/>
        </w:numPr>
        <w:jc w:val="both"/>
        <w:rPr>
          <w:rFonts w:ascii="Ping LCG Regular" w:hAnsi="Ping LCG Regular" w:cs="Arial"/>
          <w:strike/>
          <w:spacing w:val="-14"/>
        </w:rPr>
      </w:pPr>
      <w:r w:rsidRPr="00101D3E">
        <w:rPr>
          <w:rFonts w:ascii="Ping LCG Regular" w:hAnsi="Ping LCG Regular" w:cs="Arial"/>
          <w:spacing w:val="-14"/>
        </w:rPr>
        <w:t xml:space="preserve">Το </w:t>
      </w:r>
      <w:r w:rsidR="00F9037B" w:rsidRPr="00101D3E">
        <w:rPr>
          <w:rFonts w:ascii="Ping LCG Regular" w:hAnsi="Ping LCG Regular" w:cs="Arial"/>
          <w:spacing w:val="-14"/>
        </w:rPr>
        <w:t>2021</w:t>
      </w:r>
      <w:r w:rsidRPr="00101D3E">
        <w:rPr>
          <w:rFonts w:ascii="Ping LCG Regular" w:hAnsi="Ping LCG Regular" w:cs="Arial"/>
          <w:spacing w:val="-14"/>
        </w:rPr>
        <w:t xml:space="preserve">, επηρεάστηκε αρνητικά από την </w:t>
      </w:r>
      <w:r w:rsidR="00E31DA3" w:rsidRPr="00101D3E">
        <w:rPr>
          <w:rFonts w:ascii="Ping LCG Regular" w:hAnsi="Ping LCG Regular" w:cs="Arial"/>
          <w:spacing w:val="-14"/>
        </w:rPr>
        <w:t xml:space="preserve">αναδρομική χρέωση </w:t>
      </w:r>
      <w:r w:rsidR="004A0F4E" w:rsidRPr="00101D3E">
        <w:rPr>
          <w:rFonts w:ascii="Ping LCG Regular" w:hAnsi="Ping LCG Regular" w:cs="Arial"/>
          <w:spacing w:val="-14"/>
        </w:rPr>
        <w:t>ύψους €</w:t>
      </w:r>
      <w:r w:rsidR="00101D3E" w:rsidRPr="00101D3E">
        <w:rPr>
          <w:rFonts w:ascii="Ping LCG Regular" w:hAnsi="Ping LCG Regular" w:cs="Arial"/>
          <w:spacing w:val="-14"/>
        </w:rPr>
        <w:t>34,6</w:t>
      </w:r>
      <w:r w:rsidR="004A0F4E" w:rsidRPr="00101D3E">
        <w:rPr>
          <w:rFonts w:ascii="Ping LCG Regular" w:hAnsi="Ping LCG Regular" w:cs="Arial"/>
          <w:spacing w:val="-14"/>
        </w:rPr>
        <w:t xml:space="preserve"> εκατ.  </w:t>
      </w:r>
      <w:r w:rsidR="00032103" w:rsidRPr="00101D3E">
        <w:rPr>
          <w:rFonts w:ascii="Ping LCG Regular" w:hAnsi="Ping LCG Regular" w:cs="Arial"/>
          <w:spacing w:val="-14"/>
        </w:rPr>
        <w:t xml:space="preserve">λόγω ανάκτησης </w:t>
      </w:r>
      <w:r w:rsidR="00E31DA3" w:rsidRPr="00101D3E">
        <w:rPr>
          <w:rFonts w:ascii="Ping LCG Regular" w:hAnsi="Ping LCG Regular" w:cs="Arial"/>
          <w:spacing w:val="-14"/>
        </w:rPr>
        <w:t xml:space="preserve">ειδικών επιδομάτων </w:t>
      </w:r>
      <w:r w:rsidR="00032103" w:rsidRPr="00101D3E">
        <w:rPr>
          <w:rFonts w:ascii="Ping LCG Regular" w:hAnsi="Ping LCG Regular" w:cs="Arial"/>
          <w:spacing w:val="-14"/>
        </w:rPr>
        <w:t xml:space="preserve">από την </w:t>
      </w:r>
      <w:r w:rsidR="00E31DA3" w:rsidRPr="00101D3E">
        <w:rPr>
          <w:rFonts w:ascii="Ping LCG Regular" w:hAnsi="Ping LCG Regular" w:cs="Arial"/>
          <w:spacing w:val="-14"/>
        </w:rPr>
        <w:t xml:space="preserve">εφαρμογή της ΕΣΣΕ 2021-2024 </w:t>
      </w:r>
      <w:r w:rsidR="003508C8" w:rsidRPr="00101D3E">
        <w:rPr>
          <w:rFonts w:ascii="Ping LCG Regular" w:hAnsi="Ping LCG Regular" w:cs="Arial"/>
          <w:spacing w:val="-14"/>
        </w:rPr>
        <w:t>και</w:t>
      </w:r>
      <w:r w:rsidR="00E31DA3" w:rsidRPr="00101D3E">
        <w:rPr>
          <w:rFonts w:ascii="Ping LCG Regular" w:hAnsi="Ping LCG Regular" w:cs="Arial"/>
          <w:spacing w:val="-14"/>
        </w:rPr>
        <w:t xml:space="preserve"> από την </w:t>
      </w:r>
      <w:r w:rsidRPr="00101D3E">
        <w:rPr>
          <w:rFonts w:ascii="Ping LCG Regular" w:hAnsi="Ping LCG Regular" w:cs="Arial"/>
          <w:spacing w:val="-14"/>
        </w:rPr>
        <w:t>πρόβλεψη για αποζημιώσεις προσωπικού</w:t>
      </w:r>
      <w:r w:rsidR="00E31DA3" w:rsidRPr="00101D3E">
        <w:rPr>
          <w:rFonts w:ascii="Ping LCG Regular" w:hAnsi="Ping LCG Regular" w:cs="Arial"/>
          <w:spacing w:val="-14"/>
        </w:rPr>
        <w:t xml:space="preserve"> </w:t>
      </w:r>
      <w:r w:rsidRPr="00101D3E">
        <w:rPr>
          <w:rFonts w:ascii="Ping LCG Regular" w:hAnsi="Ping LCG Regular" w:cs="Arial"/>
          <w:spacing w:val="-14"/>
        </w:rPr>
        <w:t>ύψους €</w:t>
      </w:r>
      <w:r w:rsidR="0081653C" w:rsidRPr="00101D3E">
        <w:rPr>
          <w:rFonts w:ascii="Ping LCG Regular" w:hAnsi="Ping LCG Regular" w:cs="Arial"/>
          <w:spacing w:val="-14"/>
        </w:rPr>
        <w:t>1</w:t>
      </w:r>
      <w:r w:rsidR="00101D3E">
        <w:rPr>
          <w:rFonts w:ascii="Ping LCG Regular" w:hAnsi="Ping LCG Regular" w:cs="Arial"/>
          <w:spacing w:val="-14"/>
        </w:rPr>
        <w:t>6</w:t>
      </w:r>
      <w:r w:rsidR="0081653C" w:rsidRPr="00101D3E">
        <w:rPr>
          <w:rFonts w:ascii="Ping LCG Regular" w:hAnsi="Ping LCG Regular" w:cs="Arial"/>
          <w:spacing w:val="-14"/>
        </w:rPr>
        <w:t>,</w:t>
      </w:r>
      <w:r w:rsidR="00101D3E">
        <w:rPr>
          <w:rFonts w:ascii="Ping LCG Regular" w:hAnsi="Ping LCG Regular" w:cs="Arial"/>
          <w:spacing w:val="-14"/>
        </w:rPr>
        <w:t>1</w:t>
      </w:r>
      <w:r w:rsidRPr="00101D3E">
        <w:rPr>
          <w:rFonts w:ascii="Ping LCG Regular" w:hAnsi="Ping LCG Regular" w:cs="Arial"/>
          <w:spacing w:val="-14"/>
        </w:rPr>
        <w:t xml:space="preserve"> εκατ. </w:t>
      </w:r>
      <w:r w:rsidR="000018BC" w:rsidRPr="00101D3E">
        <w:rPr>
          <w:rFonts w:ascii="Ping LCG Regular" w:hAnsi="Ping LCG Regular" w:cs="Arial"/>
          <w:spacing w:val="-14"/>
        </w:rPr>
        <w:t>(εκ των οποίων τα €</w:t>
      </w:r>
      <w:r w:rsidR="00101D3E">
        <w:rPr>
          <w:rFonts w:ascii="Ping LCG Regular" w:hAnsi="Ping LCG Regular" w:cs="Arial"/>
          <w:spacing w:val="-14"/>
        </w:rPr>
        <w:t>1,2</w:t>
      </w:r>
      <w:r w:rsidR="000018BC" w:rsidRPr="00101D3E">
        <w:rPr>
          <w:rFonts w:ascii="Ping LCG Regular" w:hAnsi="Ping LCG Regular" w:cs="Arial"/>
          <w:spacing w:val="-14"/>
        </w:rPr>
        <w:t xml:space="preserve"> εκατ. αφορούν το </w:t>
      </w:r>
      <w:proofErr w:type="spellStart"/>
      <w:r w:rsidR="00EA446E" w:rsidRPr="00101D3E">
        <w:rPr>
          <w:rFonts w:ascii="Ping LCG Regular" w:hAnsi="Ping LCG Regular" w:cs="Arial"/>
          <w:spacing w:val="-14"/>
        </w:rPr>
        <w:t>δ</w:t>
      </w:r>
      <w:r w:rsidR="000018BC" w:rsidRPr="00101D3E">
        <w:rPr>
          <w:rFonts w:ascii="Ping LCG Regular" w:hAnsi="Ping LCG Regular" w:cs="Arial"/>
          <w:spacing w:val="-14"/>
        </w:rPr>
        <w:t>΄τρίμηνο</w:t>
      </w:r>
      <w:proofErr w:type="spellEnd"/>
      <w:r w:rsidR="001959B1" w:rsidRPr="00101D3E">
        <w:rPr>
          <w:rFonts w:ascii="Ping LCG Regular" w:hAnsi="Ping LCG Regular" w:cs="Arial"/>
          <w:spacing w:val="-14"/>
        </w:rPr>
        <w:t xml:space="preserve"> 2021</w:t>
      </w:r>
      <w:r w:rsidR="000018BC" w:rsidRPr="00101D3E">
        <w:rPr>
          <w:rFonts w:ascii="Ping LCG Regular" w:hAnsi="Ping LCG Regular" w:cs="Arial"/>
          <w:spacing w:val="-14"/>
        </w:rPr>
        <w:t>)</w:t>
      </w:r>
    </w:p>
    <w:p w14:paraId="3A91FC9E" w14:textId="314E9E88" w:rsidR="009905DF" w:rsidRDefault="00FE7DED" w:rsidP="008A75AF">
      <w:pPr>
        <w:pStyle w:val="af1"/>
        <w:numPr>
          <w:ilvl w:val="0"/>
          <w:numId w:val="8"/>
        </w:numPr>
        <w:jc w:val="both"/>
        <w:rPr>
          <w:rFonts w:ascii="Ping LCG Regular" w:hAnsi="Ping LCG Regular" w:cs="Arial"/>
          <w:spacing w:val="-14"/>
        </w:rPr>
      </w:pPr>
      <w:r w:rsidRPr="00101D3E">
        <w:rPr>
          <w:rFonts w:ascii="Ping LCG Regular" w:hAnsi="Ping LCG Regular" w:cs="Arial"/>
          <w:spacing w:val="-14"/>
        </w:rPr>
        <w:t xml:space="preserve">Αντίστοιχα, το EBITDA του </w:t>
      </w:r>
      <w:r w:rsidR="00F9037B" w:rsidRPr="00101D3E">
        <w:rPr>
          <w:rFonts w:ascii="Ping LCG Regular" w:hAnsi="Ping LCG Regular" w:cs="Arial"/>
          <w:spacing w:val="-14"/>
        </w:rPr>
        <w:t xml:space="preserve">2020 </w:t>
      </w:r>
      <w:r w:rsidRPr="00101D3E">
        <w:rPr>
          <w:rFonts w:ascii="Ping LCG Regular" w:hAnsi="Ping LCG Regular" w:cs="Arial"/>
          <w:spacing w:val="-14"/>
        </w:rPr>
        <w:t xml:space="preserve">είχε επηρεαστεί </w:t>
      </w:r>
      <w:r w:rsidR="009905DF" w:rsidRPr="00101D3E">
        <w:rPr>
          <w:rFonts w:ascii="Ping LCG Regular" w:hAnsi="Ping LCG Regular" w:cs="Arial"/>
          <w:spacing w:val="-14"/>
        </w:rPr>
        <w:t xml:space="preserve">αρνητικά από την πρόβλεψη για αποζημιώσεις προσωπικού </w:t>
      </w:r>
      <w:r w:rsidR="00E31DA3" w:rsidRPr="00101D3E">
        <w:rPr>
          <w:rFonts w:ascii="Ping LCG Regular" w:hAnsi="Ping LCG Regular" w:cs="Arial"/>
          <w:spacing w:val="-14"/>
        </w:rPr>
        <w:t>ύψους €</w:t>
      </w:r>
      <w:r w:rsidR="0081653C" w:rsidRPr="00101D3E">
        <w:rPr>
          <w:rFonts w:ascii="Ping LCG Regular" w:hAnsi="Ping LCG Regular" w:cs="Arial"/>
          <w:spacing w:val="-14"/>
        </w:rPr>
        <w:t>3</w:t>
      </w:r>
      <w:r w:rsidR="00EA446E" w:rsidRPr="00101D3E">
        <w:rPr>
          <w:rFonts w:ascii="Ping LCG Regular" w:hAnsi="Ping LCG Regular" w:cs="Arial"/>
          <w:spacing w:val="-14"/>
        </w:rPr>
        <w:t>5,8</w:t>
      </w:r>
      <w:r w:rsidR="009905DF" w:rsidRPr="00101D3E">
        <w:rPr>
          <w:rFonts w:ascii="Ping LCG Regular" w:hAnsi="Ping LCG Regular" w:cs="Arial"/>
          <w:spacing w:val="-14"/>
        </w:rPr>
        <w:t xml:space="preserve"> εκατ.</w:t>
      </w:r>
      <w:r w:rsidR="009905DF" w:rsidRPr="00101D3E" w:rsidDel="009905DF">
        <w:rPr>
          <w:rFonts w:ascii="Ping LCG Regular" w:hAnsi="Ping LCG Regular" w:cs="Arial"/>
          <w:spacing w:val="-14"/>
        </w:rPr>
        <w:t xml:space="preserve"> </w:t>
      </w:r>
      <w:r w:rsidR="000018BC" w:rsidRPr="00101D3E">
        <w:rPr>
          <w:rFonts w:ascii="Ping LCG Regular" w:hAnsi="Ping LCG Regular" w:cs="Arial"/>
          <w:spacing w:val="-14"/>
        </w:rPr>
        <w:t>(εκ των οποίων τα €</w:t>
      </w:r>
      <w:r w:rsidR="00EA446E" w:rsidRPr="00101D3E">
        <w:rPr>
          <w:rFonts w:ascii="Ping LCG Regular" w:hAnsi="Ping LCG Regular" w:cs="Arial"/>
          <w:spacing w:val="-14"/>
        </w:rPr>
        <w:t>3,3</w:t>
      </w:r>
      <w:r w:rsidR="000018BC" w:rsidRPr="00101D3E">
        <w:rPr>
          <w:rFonts w:ascii="Ping LCG Regular" w:hAnsi="Ping LCG Regular" w:cs="Arial"/>
          <w:spacing w:val="-14"/>
        </w:rPr>
        <w:t xml:space="preserve"> εκατ. </w:t>
      </w:r>
      <w:r w:rsidR="00217A10" w:rsidRPr="00101D3E">
        <w:rPr>
          <w:rFonts w:ascii="Ping LCG Regular" w:hAnsi="Ping LCG Regular" w:cs="Arial"/>
          <w:spacing w:val="-14"/>
        </w:rPr>
        <w:t>αφορούσαν</w:t>
      </w:r>
      <w:r w:rsidR="000018BC" w:rsidRPr="00101D3E">
        <w:rPr>
          <w:rFonts w:ascii="Ping LCG Regular" w:hAnsi="Ping LCG Regular" w:cs="Arial"/>
          <w:spacing w:val="-14"/>
        </w:rPr>
        <w:t xml:space="preserve"> το </w:t>
      </w:r>
      <w:proofErr w:type="spellStart"/>
      <w:r w:rsidR="00EA446E" w:rsidRPr="00101D3E">
        <w:rPr>
          <w:rFonts w:ascii="Ping LCG Regular" w:hAnsi="Ping LCG Regular" w:cs="Arial"/>
          <w:spacing w:val="-14"/>
        </w:rPr>
        <w:t>δ</w:t>
      </w:r>
      <w:r w:rsidR="000018BC" w:rsidRPr="00101D3E">
        <w:rPr>
          <w:rFonts w:ascii="Ping LCG Regular" w:hAnsi="Ping LCG Regular" w:cs="Arial"/>
          <w:spacing w:val="-14"/>
        </w:rPr>
        <w:t>΄τρίμηνο</w:t>
      </w:r>
      <w:proofErr w:type="spellEnd"/>
      <w:r w:rsidR="001959B1" w:rsidRPr="00101D3E">
        <w:rPr>
          <w:rFonts w:ascii="Ping LCG Regular" w:hAnsi="Ping LCG Regular" w:cs="Arial"/>
          <w:spacing w:val="-14"/>
        </w:rPr>
        <w:t xml:space="preserve"> 2020</w:t>
      </w:r>
      <w:r w:rsidR="000018BC" w:rsidRPr="00101D3E">
        <w:rPr>
          <w:rFonts w:ascii="Ping LCG Regular" w:hAnsi="Ping LCG Regular" w:cs="Arial"/>
          <w:spacing w:val="-14"/>
        </w:rPr>
        <w:t xml:space="preserve">) </w:t>
      </w:r>
      <w:r w:rsidR="00AC4541" w:rsidRPr="00AC4541">
        <w:rPr>
          <w:rFonts w:ascii="Ping LCG Regular" w:hAnsi="Ping LCG Regular" w:cs="Arial"/>
          <w:spacing w:val="-14"/>
        </w:rPr>
        <w:t>και από την επιβολή έκτακτων εφάπαξ χρεώσεων συνολικού ύψους €74,3 εκατ. στο πλαίσιο των μέτρων που έλαβε η Πολιτεία για την κάλυψη του ελλείματος του ΕΛΑΠΕ με βάση τις προβλέψεις του νόμου 4759/2020</w:t>
      </w:r>
      <w:r w:rsidR="0029411E">
        <w:rPr>
          <w:rFonts w:ascii="Ping LCG Regular" w:hAnsi="Ping LCG Regular" w:cs="Arial"/>
          <w:spacing w:val="-14"/>
        </w:rPr>
        <w:t xml:space="preserve">. Αντίθετα, θετική επίδραση στο </w:t>
      </w:r>
      <w:r w:rsidR="0029411E">
        <w:rPr>
          <w:rFonts w:ascii="Ping LCG Regular" w:hAnsi="Ping LCG Regular" w:cs="Arial"/>
          <w:spacing w:val="-14"/>
          <w:lang w:val="en-US"/>
        </w:rPr>
        <w:t>EBITDA</w:t>
      </w:r>
      <w:r w:rsidR="0029411E" w:rsidRPr="0029411E">
        <w:rPr>
          <w:rFonts w:ascii="Ping LCG Regular" w:hAnsi="Ping LCG Regular" w:cs="Arial"/>
          <w:spacing w:val="-14"/>
        </w:rPr>
        <w:t xml:space="preserve"> </w:t>
      </w:r>
      <w:r w:rsidR="0029411E">
        <w:rPr>
          <w:rFonts w:ascii="Ping LCG Regular" w:hAnsi="Ping LCG Regular" w:cs="Arial"/>
          <w:spacing w:val="-14"/>
        </w:rPr>
        <w:t xml:space="preserve">του 2020 είχε </w:t>
      </w:r>
      <w:r w:rsidR="009905DF" w:rsidRPr="00101D3E">
        <w:rPr>
          <w:rFonts w:ascii="Ping LCG Regular" w:hAnsi="Ping LCG Regular" w:cs="Arial"/>
          <w:spacing w:val="-14"/>
        </w:rPr>
        <w:t>το πιστωτικό τιμολόγιο για την προμήθεια φυσικού αερίου παρελθόντων ετών από την ΔΕΠΑ ύψους €44,8 εκατ.</w:t>
      </w:r>
    </w:p>
    <w:p w14:paraId="7D92A5E0" w14:textId="55A023C6" w:rsidR="00FE7DED" w:rsidRPr="00C158D9" w:rsidRDefault="00FE7DED" w:rsidP="00465824">
      <w:pPr>
        <w:jc w:val="both"/>
        <w:rPr>
          <w:rFonts w:ascii="Ping LCG Regular" w:hAnsi="Ping LCG Regular" w:cs="Arial"/>
          <w:spacing w:val="-14"/>
          <w:lang w:val="el-GR"/>
        </w:rPr>
      </w:pPr>
      <w:r w:rsidRPr="00101D3E">
        <w:rPr>
          <w:rFonts w:ascii="Ping LCG Regular" w:hAnsi="Ping LCG Regular" w:cs="Arial"/>
          <w:spacing w:val="-14"/>
          <w:lang w:val="el-GR"/>
        </w:rPr>
        <w:t xml:space="preserve">Συμπεριλαμβανομένων και των παραπάνω εφάπαξ επιπτώσεων, το </w:t>
      </w:r>
      <w:r w:rsidRPr="00101D3E">
        <w:rPr>
          <w:rFonts w:ascii="Ping LCG Regular" w:hAnsi="Ping LCG Regular" w:cs="Arial"/>
          <w:spacing w:val="-14"/>
        </w:rPr>
        <w:t>EBITDA</w:t>
      </w:r>
      <w:r w:rsidRPr="00101D3E">
        <w:rPr>
          <w:rFonts w:ascii="Ping LCG Regular" w:hAnsi="Ping LCG Regular" w:cs="Arial"/>
          <w:spacing w:val="-14"/>
          <w:lang w:val="el-GR"/>
        </w:rPr>
        <w:t xml:space="preserve"> του </w:t>
      </w:r>
      <w:r w:rsidR="00F9037B" w:rsidRPr="00101D3E">
        <w:rPr>
          <w:rFonts w:ascii="Ping LCG Regular" w:hAnsi="Ping LCG Regular" w:cs="Arial"/>
          <w:spacing w:val="-14"/>
          <w:lang w:val="el-GR"/>
        </w:rPr>
        <w:t xml:space="preserve">2021 </w:t>
      </w:r>
      <w:r w:rsidRPr="00101D3E">
        <w:rPr>
          <w:rFonts w:ascii="Ping LCG Regular" w:hAnsi="Ping LCG Regular" w:cs="Arial"/>
          <w:spacing w:val="-14"/>
          <w:lang w:val="el-GR"/>
        </w:rPr>
        <w:t xml:space="preserve"> διαμορφώθηκε σε €</w:t>
      </w:r>
      <w:r w:rsidR="00EA446E" w:rsidRPr="00101D3E">
        <w:rPr>
          <w:rFonts w:ascii="Ping LCG Regular" w:hAnsi="Ping LCG Regular" w:cs="Arial"/>
          <w:spacing w:val="-14"/>
          <w:lang w:val="el-GR"/>
        </w:rPr>
        <w:t>8</w:t>
      </w:r>
      <w:r w:rsidR="00AC4541">
        <w:rPr>
          <w:rFonts w:ascii="Ping LCG Regular" w:hAnsi="Ping LCG Regular" w:cs="Arial"/>
          <w:spacing w:val="-14"/>
          <w:lang w:val="el-GR"/>
        </w:rPr>
        <w:t>21</w:t>
      </w:r>
      <w:r w:rsidR="00032103" w:rsidRPr="00101D3E">
        <w:rPr>
          <w:rFonts w:ascii="Ping LCG Regular" w:hAnsi="Ping LCG Regular" w:cs="Arial"/>
          <w:spacing w:val="-14"/>
          <w:lang w:val="el-GR"/>
        </w:rPr>
        <w:t xml:space="preserve"> </w:t>
      </w:r>
      <w:r w:rsidRPr="00101D3E">
        <w:rPr>
          <w:rFonts w:ascii="Ping LCG Regular" w:hAnsi="Ping LCG Regular" w:cs="Arial"/>
          <w:spacing w:val="-14"/>
          <w:lang w:val="el-GR"/>
        </w:rPr>
        <w:t xml:space="preserve">εκατ. από </w:t>
      </w:r>
      <w:r w:rsidR="001830FD" w:rsidRPr="00101D3E">
        <w:rPr>
          <w:rFonts w:ascii="Ping LCG Regular" w:hAnsi="Ping LCG Regular" w:cs="Arial"/>
          <w:spacing w:val="-14"/>
          <w:lang w:val="el-GR"/>
        </w:rPr>
        <w:t>€</w:t>
      </w:r>
      <w:r w:rsidR="005017FA" w:rsidRPr="00E14B07">
        <w:rPr>
          <w:rFonts w:ascii="Ping LCG Regular" w:hAnsi="Ping LCG Regular" w:cs="Arial"/>
          <w:spacing w:val="-14"/>
          <w:lang w:val="el-GR"/>
        </w:rPr>
        <w:t>799,8</w:t>
      </w:r>
      <w:r w:rsidRPr="00101D3E">
        <w:rPr>
          <w:rFonts w:ascii="Ping LCG Regular" w:hAnsi="Ping LCG Regular" w:cs="Arial"/>
          <w:spacing w:val="-14"/>
          <w:lang w:val="el-GR"/>
        </w:rPr>
        <w:t xml:space="preserve"> εκατ. το </w:t>
      </w:r>
      <w:r w:rsidR="00F9037B" w:rsidRPr="00101D3E">
        <w:rPr>
          <w:rFonts w:ascii="Ping LCG Regular" w:hAnsi="Ping LCG Regular" w:cs="Arial"/>
          <w:spacing w:val="-14"/>
          <w:lang w:val="el-GR"/>
        </w:rPr>
        <w:t>2020</w:t>
      </w:r>
      <w:r w:rsidRPr="00101D3E">
        <w:rPr>
          <w:rFonts w:ascii="Ping LCG Regular" w:hAnsi="Ping LCG Regular" w:cs="Arial"/>
          <w:spacing w:val="-14"/>
          <w:lang w:val="el-GR"/>
        </w:rPr>
        <w:t>.</w:t>
      </w:r>
    </w:p>
    <w:p w14:paraId="71CC7BF6" w14:textId="77777777" w:rsidR="00C8194B" w:rsidRDefault="00C8194B" w:rsidP="00A249A6">
      <w:pPr>
        <w:widowControl w:val="0"/>
        <w:autoSpaceDE w:val="0"/>
        <w:autoSpaceDN w:val="0"/>
        <w:adjustRightInd w:val="0"/>
        <w:ind w:right="20"/>
        <w:jc w:val="both"/>
        <w:rPr>
          <w:rFonts w:ascii="Ping LCG Regular" w:hAnsi="Ping LCG Regular" w:cs="Arial"/>
          <w:b/>
          <w:spacing w:val="-14"/>
          <w:szCs w:val="26"/>
          <w:lang w:val="el-GR"/>
        </w:rPr>
      </w:pPr>
    </w:p>
    <w:p w14:paraId="2127DCA3" w14:textId="77777777" w:rsidR="00C8194B" w:rsidRPr="0081653C" w:rsidRDefault="00C8194B" w:rsidP="00A249A6">
      <w:pPr>
        <w:widowControl w:val="0"/>
        <w:autoSpaceDE w:val="0"/>
        <w:autoSpaceDN w:val="0"/>
        <w:adjustRightInd w:val="0"/>
        <w:ind w:right="20"/>
        <w:jc w:val="both"/>
        <w:rPr>
          <w:rFonts w:ascii="Ping LCG Regular" w:hAnsi="Ping LCG Regular" w:cs="Arial"/>
          <w:b/>
          <w:spacing w:val="-14"/>
          <w:szCs w:val="26"/>
          <w:lang w:val="el-GR"/>
        </w:rPr>
      </w:pPr>
    </w:p>
    <w:p w14:paraId="3F0B2DAE" w14:textId="4F272909" w:rsidR="00A249A6" w:rsidRPr="002879A3" w:rsidRDefault="00A249A6" w:rsidP="00A249A6">
      <w:pPr>
        <w:widowControl w:val="0"/>
        <w:autoSpaceDE w:val="0"/>
        <w:autoSpaceDN w:val="0"/>
        <w:adjustRightInd w:val="0"/>
        <w:ind w:right="20"/>
        <w:jc w:val="both"/>
        <w:rPr>
          <w:rFonts w:ascii="Ping LCG Regular" w:hAnsi="Ping LCG Regular" w:cs="Arial"/>
          <w:b/>
          <w:spacing w:val="-14"/>
          <w:szCs w:val="26"/>
          <w:lang w:val="el-GR"/>
        </w:rPr>
      </w:pPr>
      <w:bookmarkStart w:id="14" w:name="_Hlk81171663"/>
      <w:r w:rsidRPr="0081653C">
        <w:rPr>
          <w:rFonts w:ascii="Ping LCG Regular" w:hAnsi="Ping LCG Regular" w:cs="Arial"/>
          <w:b/>
          <w:spacing w:val="-14"/>
          <w:szCs w:val="26"/>
          <w:lang w:val="el-GR"/>
        </w:rPr>
        <w:t>Επενδύσεις</w:t>
      </w:r>
    </w:p>
    <w:p w14:paraId="1417FE9C" w14:textId="10083DFE" w:rsidR="00A249A6" w:rsidRPr="005A58DE" w:rsidRDefault="00A249A6" w:rsidP="00A249A6">
      <w:pPr>
        <w:widowControl w:val="0"/>
        <w:autoSpaceDE w:val="0"/>
        <w:autoSpaceDN w:val="0"/>
        <w:adjustRightInd w:val="0"/>
        <w:ind w:right="18"/>
        <w:jc w:val="both"/>
        <w:rPr>
          <w:rFonts w:ascii="Ping LCG Regular" w:hAnsi="Ping LCG Regular" w:cs="Arial"/>
          <w:spacing w:val="-14"/>
          <w:lang w:val="el-GR"/>
        </w:rPr>
      </w:pPr>
      <w:r w:rsidRPr="0081653C">
        <w:rPr>
          <w:rFonts w:ascii="Ping LCG Regular" w:hAnsi="Ping LCG Regular" w:cs="Arial"/>
          <w:spacing w:val="-14"/>
          <w:lang w:val="el-GR"/>
        </w:rPr>
        <w:t xml:space="preserve">Οι </w:t>
      </w:r>
      <w:r w:rsidRPr="005A58DE">
        <w:rPr>
          <w:rFonts w:ascii="Ping LCG Regular" w:hAnsi="Ping LCG Regular" w:cs="Arial"/>
          <w:spacing w:val="-14"/>
          <w:lang w:val="el-GR"/>
        </w:rPr>
        <w:t xml:space="preserve">συνολικές επενδύσεις το </w:t>
      </w:r>
      <w:r w:rsidR="0015574E" w:rsidRPr="005A58DE">
        <w:rPr>
          <w:rFonts w:ascii="Ping LCG Regular" w:hAnsi="Ping LCG Regular" w:cs="Arial"/>
          <w:spacing w:val="-14"/>
          <w:lang w:val="el-GR"/>
        </w:rPr>
        <w:t>2021</w:t>
      </w:r>
      <w:r w:rsidRPr="005A58DE">
        <w:rPr>
          <w:rFonts w:ascii="Ping LCG Regular" w:hAnsi="Ping LCG Regular" w:cs="Arial"/>
          <w:spacing w:val="-14"/>
          <w:lang w:val="el-GR"/>
        </w:rPr>
        <w:t xml:space="preserve"> διαμορφώθηκαν σε €</w:t>
      </w:r>
      <w:r w:rsidR="004D0AB2">
        <w:rPr>
          <w:rFonts w:ascii="Ping LCG Regular" w:hAnsi="Ping LCG Regular" w:cs="Arial"/>
          <w:spacing w:val="-14"/>
          <w:lang w:val="el-GR"/>
        </w:rPr>
        <w:t>4</w:t>
      </w:r>
      <w:r w:rsidR="0050100A" w:rsidRPr="0050100A">
        <w:rPr>
          <w:rFonts w:ascii="Ping LCG Regular" w:hAnsi="Ping LCG Regular" w:cs="Arial"/>
          <w:spacing w:val="-14"/>
          <w:lang w:val="el-GR"/>
        </w:rPr>
        <w:t>3</w:t>
      </w:r>
      <w:r w:rsidR="00C16409" w:rsidRPr="00637252">
        <w:rPr>
          <w:rFonts w:ascii="Ping LCG Regular" w:hAnsi="Ping LCG Regular" w:cs="Arial"/>
          <w:spacing w:val="-14"/>
          <w:lang w:val="el-GR"/>
        </w:rPr>
        <w:t>7</w:t>
      </w:r>
      <w:r w:rsidR="004D0AB2">
        <w:rPr>
          <w:rFonts w:ascii="Ping LCG Regular" w:hAnsi="Ping LCG Regular" w:cs="Arial"/>
          <w:spacing w:val="-14"/>
          <w:lang w:val="el-GR"/>
        </w:rPr>
        <w:t>,</w:t>
      </w:r>
      <w:r w:rsidR="00C16409" w:rsidRPr="00637252">
        <w:rPr>
          <w:rFonts w:ascii="Ping LCG Regular" w:hAnsi="Ping LCG Regular" w:cs="Arial"/>
          <w:spacing w:val="-14"/>
          <w:lang w:val="el-GR"/>
        </w:rPr>
        <w:t>9</w:t>
      </w:r>
      <w:r w:rsidRPr="005A58DE">
        <w:rPr>
          <w:rFonts w:ascii="Ping LCG Regular" w:hAnsi="Ping LCG Regular" w:cs="Arial"/>
          <w:spacing w:val="-14"/>
          <w:lang w:val="el-GR"/>
        </w:rPr>
        <w:t xml:space="preserve"> εκατ. έναντι </w:t>
      </w:r>
      <w:r w:rsidR="00096713" w:rsidRPr="00AF77B1">
        <w:rPr>
          <w:rFonts w:ascii="Ping LCG Regular" w:hAnsi="Ping LCG Regular" w:cs="Arial"/>
          <w:spacing w:val="-14"/>
          <w:lang w:val="el-GR"/>
        </w:rPr>
        <w:t>€</w:t>
      </w:r>
      <w:r w:rsidR="004D0AB2" w:rsidRPr="00AF77B1">
        <w:rPr>
          <w:rFonts w:ascii="Ping LCG Regular" w:hAnsi="Ping LCG Regular" w:cs="Arial"/>
          <w:spacing w:val="-14"/>
          <w:lang w:val="el-GR"/>
        </w:rPr>
        <w:t>37</w:t>
      </w:r>
      <w:r w:rsidR="00AC4541">
        <w:rPr>
          <w:rFonts w:ascii="Ping LCG Regular" w:hAnsi="Ping LCG Regular" w:cs="Arial"/>
          <w:spacing w:val="-14"/>
          <w:lang w:val="el-GR"/>
        </w:rPr>
        <w:t>6,5</w:t>
      </w:r>
      <w:r w:rsidRPr="005A58DE">
        <w:rPr>
          <w:rFonts w:ascii="Ping LCG Regular" w:hAnsi="Ping LCG Regular" w:cs="Arial"/>
          <w:spacing w:val="-14"/>
          <w:lang w:val="el-GR"/>
        </w:rPr>
        <w:t xml:space="preserve"> εκατ. το </w:t>
      </w:r>
      <w:r w:rsidR="0015574E" w:rsidRPr="005A58DE">
        <w:rPr>
          <w:rFonts w:ascii="Ping LCG Regular" w:hAnsi="Ping LCG Regular" w:cs="Arial"/>
          <w:spacing w:val="-14"/>
          <w:lang w:val="el-GR"/>
        </w:rPr>
        <w:t>2020.</w:t>
      </w:r>
      <w:r w:rsidR="00FF5ECF" w:rsidRPr="005A58DE">
        <w:rPr>
          <w:rFonts w:ascii="Ping LCG Regular" w:hAnsi="Ping LCG Regular" w:cs="Arial"/>
          <w:spacing w:val="-14"/>
          <w:lang w:val="el-GR"/>
        </w:rPr>
        <w:t xml:space="preserve"> </w:t>
      </w:r>
    </w:p>
    <w:p w14:paraId="778F6F59" w14:textId="15CE22AA" w:rsidR="00A249A6" w:rsidRPr="00C16409" w:rsidRDefault="00A249A6" w:rsidP="00A249A6">
      <w:pPr>
        <w:widowControl w:val="0"/>
        <w:autoSpaceDE w:val="0"/>
        <w:autoSpaceDN w:val="0"/>
        <w:adjustRightInd w:val="0"/>
        <w:ind w:right="18"/>
        <w:jc w:val="both"/>
        <w:rPr>
          <w:rFonts w:ascii="Ping LCG Regular" w:hAnsi="Ping LCG Regular" w:cs="Arial"/>
          <w:spacing w:val="-14"/>
          <w:lang w:val="el-GR"/>
        </w:rPr>
      </w:pPr>
      <w:r w:rsidRPr="00637252">
        <w:rPr>
          <w:rFonts w:ascii="Ping LCG Regular" w:hAnsi="Ping LCG Regular" w:cs="Arial"/>
          <w:spacing w:val="-14"/>
          <w:lang w:val="el-GR"/>
        </w:rPr>
        <w:t xml:space="preserve">Όπως φαίνεται και στον παρακάτω πίνακα, </w:t>
      </w:r>
      <w:r w:rsidR="007D748A" w:rsidRPr="00637252">
        <w:rPr>
          <w:rFonts w:ascii="Ping LCG Regular" w:hAnsi="Ping LCG Regular" w:cs="Arial"/>
          <w:spacing w:val="-14"/>
          <w:lang w:val="el-GR"/>
        </w:rPr>
        <w:t>μ</w:t>
      </w:r>
      <w:r w:rsidRPr="00637252">
        <w:rPr>
          <w:rFonts w:ascii="Ping LCG Regular" w:hAnsi="Ping LCG Regular" w:cs="Arial"/>
          <w:spacing w:val="-14"/>
          <w:lang w:val="el-GR"/>
        </w:rPr>
        <w:t>εγ</w:t>
      </w:r>
      <w:r w:rsidR="007D748A" w:rsidRPr="00637252">
        <w:rPr>
          <w:rFonts w:ascii="Ping LCG Regular" w:hAnsi="Ping LCG Regular" w:cs="Arial"/>
          <w:spacing w:val="-14"/>
          <w:lang w:val="el-GR"/>
        </w:rPr>
        <w:t>άλο</w:t>
      </w:r>
      <w:r w:rsidRPr="00637252">
        <w:rPr>
          <w:rFonts w:ascii="Ping LCG Regular" w:hAnsi="Ping LCG Regular" w:cs="Arial"/>
          <w:spacing w:val="-14"/>
          <w:lang w:val="el-GR"/>
        </w:rPr>
        <w:t xml:space="preserve"> μέρος της </w:t>
      </w:r>
      <w:r w:rsidR="00B50EDF" w:rsidRPr="00637252">
        <w:rPr>
          <w:rFonts w:ascii="Ping LCG Regular" w:hAnsi="Ping LCG Regular" w:cs="Arial"/>
          <w:spacing w:val="-14"/>
          <w:lang w:val="el-GR"/>
        </w:rPr>
        <w:t xml:space="preserve">αύξησης </w:t>
      </w:r>
      <w:r w:rsidRPr="00637252">
        <w:rPr>
          <w:rFonts w:ascii="Ping LCG Regular" w:hAnsi="Ping LCG Regular" w:cs="Arial"/>
          <w:spacing w:val="-14"/>
          <w:lang w:val="el-GR"/>
        </w:rPr>
        <w:t xml:space="preserve">οφείλεται στις </w:t>
      </w:r>
      <w:r w:rsidR="009C7DD4" w:rsidRPr="00637252">
        <w:rPr>
          <w:rFonts w:ascii="Ping LCG Regular" w:hAnsi="Ping LCG Regular" w:cs="Arial"/>
          <w:spacing w:val="-14"/>
          <w:lang w:val="el-GR"/>
        </w:rPr>
        <w:t>αυξημένες επενδύσεις σε έργα επαναληπτικού χαρακτήρα στο Δίκτυο Διανομής</w:t>
      </w:r>
      <w:r w:rsidR="00254705" w:rsidRPr="00637252">
        <w:rPr>
          <w:rFonts w:ascii="Ping LCG Regular" w:hAnsi="Ping LCG Regular" w:cs="Arial"/>
          <w:spacing w:val="-14"/>
          <w:lang w:val="el-GR"/>
        </w:rPr>
        <w:t xml:space="preserve"> καθώς και σε ΑΠΕ</w:t>
      </w:r>
      <w:r w:rsidR="00E3203D" w:rsidRPr="00637252">
        <w:rPr>
          <w:rFonts w:ascii="Ping LCG Regular" w:hAnsi="Ping LCG Regular" w:cs="Arial"/>
          <w:spacing w:val="-14"/>
          <w:lang w:val="el-GR"/>
        </w:rPr>
        <w:t>.</w:t>
      </w:r>
      <w:r w:rsidR="00BC6631" w:rsidRPr="00C16409">
        <w:rPr>
          <w:rFonts w:ascii="Ping LCG Regular" w:hAnsi="Ping LCG Regular" w:cs="Arial"/>
          <w:spacing w:val="-14"/>
          <w:lang w:val="el-GR"/>
        </w:rPr>
        <w:t xml:space="preserve"> </w:t>
      </w:r>
    </w:p>
    <w:p w14:paraId="732171D7" w14:textId="727B10A7" w:rsidR="00A249A6" w:rsidRPr="007D748A" w:rsidRDefault="00A249A6" w:rsidP="00A249A6">
      <w:pPr>
        <w:autoSpaceDE w:val="0"/>
        <w:autoSpaceDN w:val="0"/>
        <w:ind w:right="18"/>
        <w:jc w:val="both"/>
        <w:rPr>
          <w:rFonts w:ascii="Ping LCG Regular" w:hAnsi="Ping LCG Regular" w:cs="Arial"/>
          <w:spacing w:val="-14"/>
          <w:lang w:val="el-GR"/>
        </w:rPr>
      </w:pPr>
      <w:bookmarkStart w:id="15" w:name="_Hlk68249913"/>
      <w:r w:rsidRPr="00C16409">
        <w:rPr>
          <w:rFonts w:ascii="Ping LCG Regular" w:hAnsi="Ping LCG Regular" w:cs="Arial"/>
          <w:spacing w:val="-14"/>
          <w:lang w:val="el-GR"/>
        </w:rPr>
        <w:t>Η σύνθεση των κύριων επενδύσεων έχει ως εξής :</w:t>
      </w:r>
    </w:p>
    <w:p w14:paraId="65193798" w14:textId="77777777" w:rsidR="00A249A6" w:rsidRPr="00B26EE8" w:rsidRDefault="00A249A6" w:rsidP="00A249A6">
      <w:pPr>
        <w:autoSpaceDE w:val="0"/>
        <w:autoSpaceDN w:val="0"/>
        <w:ind w:right="18"/>
        <w:jc w:val="both"/>
        <w:rPr>
          <w:rFonts w:ascii="Ping LCG Regular" w:hAnsi="Ping LCG Regular" w:cs="Arial"/>
          <w:spacing w:val="-14"/>
          <w:sz w:val="16"/>
          <w:highlight w:val="yellow"/>
          <w:lang w:val="el-GR"/>
        </w:rPr>
      </w:pPr>
    </w:p>
    <w:tbl>
      <w:tblPr>
        <w:tblW w:w="10514"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835"/>
        <w:gridCol w:w="2127"/>
        <w:gridCol w:w="2126"/>
        <w:gridCol w:w="1593"/>
        <w:gridCol w:w="1833"/>
      </w:tblGrid>
      <w:tr w:rsidR="00E34012" w:rsidRPr="007F675C" w14:paraId="6E3F4F43" w14:textId="77777777" w:rsidTr="00E14B07">
        <w:trPr>
          <w:trHeight w:val="283"/>
        </w:trPr>
        <w:tc>
          <w:tcPr>
            <w:tcW w:w="2835" w:type="dxa"/>
            <w:tcBorders>
              <w:top w:val="single" w:sz="8" w:space="0" w:color="auto"/>
              <w:bottom w:val="single" w:sz="6" w:space="0" w:color="auto"/>
            </w:tcBorders>
            <w:shd w:val="clear" w:color="auto" w:fill="9DB1CF"/>
            <w:tcMar>
              <w:top w:w="0" w:type="dxa"/>
              <w:left w:w="108" w:type="dxa"/>
              <w:bottom w:w="0" w:type="dxa"/>
              <w:right w:w="108" w:type="dxa"/>
            </w:tcMar>
            <w:vAlign w:val="center"/>
          </w:tcPr>
          <w:p w14:paraId="1376B10A" w14:textId="77777777" w:rsidR="00E34012" w:rsidRPr="007F675C" w:rsidRDefault="00E34012" w:rsidP="00691AF7">
            <w:pPr>
              <w:autoSpaceDE w:val="0"/>
              <w:autoSpaceDN w:val="0"/>
              <w:ind w:right="18"/>
              <w:jc w:val="center"/>
              <w:rPr>
                <w:rFonts w:ascii="Ping LCG Regular" w:eastAsia="Calibri" w:hAnsi="Ping LCG Regular" w:cs="Arial"/>
                <w:spacing w:val="-14"/>
              </w:rPr>
            </w:pPr>
            <w:r w:rsidRPr="007F675C">
              <w:rPr>
                <w:rFonts w:ascii="Ping LCG Regular" w:hAnsi="Ping LCG Regular" w:cs="Arial"/>
                <w:spacing w:val="-14"/>
              </w:rPr>
              <w:t>(</w:t>
            </w:r>
            <w:proofErr w:type="spellStart"/>
            <w:r w:rsidRPr="007F675C">
              <w:rPr>
                <w:rFonts w:ascii="Ping LCG Regular" w:hAnsi="Ping LCG Regular" w:cs="Arial"/>
                <w:spacing w:val="-14"/>
              </w:rPr>
              <w:t>σε</w:t>
            </w:r>
            <w:proofErr w:type="spellEnd"/>
            <w:r w:rsidRPr="007F675C">
              <w:rPr>
                <w:rFonts w:ascii="Ping LCG Regular" w:hAnsi="Ping LCG Regular" w:cs="Arial"/>
                <w:spacing w:val="-14"/>
              </w:rPr>
              <w:t xml:space="preserve"> € </w:t>
            </w:r>
            <w:proofErr w:type="spellStart"/>
            <w:r w:rsidRPr="007F675C">
              <w:rPr>
                <w:rFonts w:ascii="Ping LCG Regular" w:hAnsi="Ping LCG Regular" w:cs="Arial"/>
                <w:spacing w:val="-14"/>
              </w:rPr>
              <w:t>εκ</w:t>
            </w:r>
            <w:proofErr w:type="spellEnd"/>
            <w:r w:rsidRPr="007F675C">
              <w:rPr>
                <w:rFonts w:ascii="Ping LCG Regular" w:hAnsi="Ping LCG Regular" w:cs="Arial"/>
                <w:spacing w:val="-14"/>
              </w:rPr>
              <w:t>ατ.)</w:t>
            </w:r>
          </w:p>
        </w:tc>
        <w:tc>
          <w:tcPr>
            <w:tcW w:w="2127" w:type="dxa"/>
            <w:tcBorders>
              <w:top w:val="single" w:sz="8" w:space="0" w:color="auto"/>
              <w:bottom w:val="single" w:sz="6" w:space="0" w:color="auto"/>
            </w:tcBorders>
            <w:shd w:val="clear" w:color="auto" w:fill="9DB1CF"/>
            <w:tcMar>
              <w:top w:w="0" w:type="dxa"/>
              <w:left w:w="108" w:type="dxa"/>
              <w:bottom w:w="0" w:type="dxa"/>
              <w:right w:w="108" w:type="dxa"/>
            </w:tcMar>
            <w:vAlign w:val="center"/>
            <w:hideMark/>
          </w:tcPr>
          <w:p w14:paraId="4B7298E9" w14:textId="25A1C6E5" w:rsidR="00E34012" w:rsidRPr="007F675C" w:rsidRDefault="0015574E" w:rsidP="00691AF7">
            <w:pPr>
              <w:jc w:val="center"/>
              <w:rPr>
                <w:rFonts w:ascii="Ping LCG Regular" w:hAnsi="Ping LCG Regular" w:cs="Arial"/>
                <w:b/>
                <w:spacing w:val="-14"/>
                <w:u w:val="single"/>
              </w:rPr>
            </w:pPr>
            <w:r w:rsidRPr="007F675C">
              <w:rPr>
                <w:rFonts w:ascii="Ping LCG Regular" w:hAnsi="Ping LCG Regular" w:cs="Arial"/>
                <w:b/>
                <w:spacing w:val="-14"/>
              </w:rPr>
              <w:t>202</w:t>
            </w:r>
            <w:r w:rsidRPr="007F675C">
              <w:rPr>
                <w:rFonts w:ascii="Ping LCG Regular" w:hAnsi="Ping LCG Regular" w:cs="Arial"/>
                <w:b/>
                <w:spacing w:val="-14"/>
                <w:lang w:val="el-GR"/>
              </w:rPr>
              <w:t>1</w:t>
            </w:r>
          </w:p>
        </w:tc>
        <w:tc>
          <w:tcPr>
            <w:tcW w:w="2126" w:type="dxa"/>
            <w:tcBorders>
              <w:top w:val="single" w:sz="8" w:space="0" w:color="auto"/>
              <w:bottom w:val="single" w:sz="6" w:space="0" w:color="auto"/>
            </w:tcBorders>
            <w:shd w:val="clear" w:color="auto" w:fill="9DB1CF"/>
            <w:tcMar>
              <w:top w:w="0" w:type="dxa"/>
              <w:left w:w="108" w:type="dxa"/>
              <w:bottom w:w="0" w:type="dxa"/>
              <w:right w:w="108" w:type="dxa"/>
            </w:tcMar>
            <w:vAlign w:val="center"/>
            <w:hideMark/>
          </w:tcPr>
          <w:p w14:paraId="0660F90A" w14:textId="0D2B05B6" w:rsidR="00E34012" w:rsidRPr="007F675C" w:rsidRDefault="0015574E" w:rsidP="00691AF7">
            <w:pPr>
              <w:jc w:val="center"/>
              <w:rPr>
                <w:rFonts w:ascii="Ping LCG Regular" w:hAnsi="Ping LCG Regular" w:cs="Arial"/>
                <w:spacing w:val="-14"/>
                <w:u w:val="single"/>
              </w:rPr>
            </w:pPr>
            <w:r w:rsidRPr="007F675C">
              <w:rPr>
                <w:rFonts w:ascii="Ping LCG Regular" w:hAnsi="Ping LCG Regular" w:cs="Arial"/>
                <w:b/>
                <w:spacing w:val="-14"/>
              </w:rPr>
              <w:t>202</w:t>
            </w:r>
            <w:r w:rsidRPr="007F675C">
              <w:rPr>
                <w:rFonts w:ascii="Ping LCG Regular" w:hAnsi="Ping LCG Regular" w:cs="Arial"/>
                <w:b/>
                <w:spacing w:val="-14"/>
                <w:lang w:val="el-GR"/>
              </w:rPr>
              <w:t>0</w:t>
            </w:r>
          </w:p>
        </w:tc>
        <w:tc>
          <w:tcPr>
            <w:tcW w:w="1593" w:type="dxa"/>
            <w:tcBorders>
              <w:top w:val="single" w:sz="8" w:space="0" w:color="auto"/>
              <w:bottom w:val="single" w:sz="6" w:space="0" w:color="auto"/>
            </w:tcBorders>
            <w:shd w:val="clear" w:color="auto" w:fill="9DB1CF"/>
          </w:tcPr>
          <w:p w14:paraId="4B815A53" w14:textId="14F37563" w:rsidR="00E34012" w:rsidRPr="007F675C" w:rsidRDefault="00E34012" w:rsidP="00691AF7">
            <w:pPr>
              <w:autoSpaceDE w:val="0"/>
              <w:autoSpaceDN w:val="0"/>
              <w:ind w:right="18"/>
              <w:jc w:val="center"/>
              <w:rPr>
                <w:rFonts w:ascii="Ping LCG Regular" w:hAnsi="Ping LCG Regular" w:cs="Arial"/>
                <w:b/>
                <w:bCs/>
                <w:i/>
                <w:spacing w:val="-14"/>
              </w:rPr>
            </w:pPr>
            <w:r w:rsidRPr="007F675C">
              <w:rPr>
                <w:rFonts w:ascii="Ping LCG Regular" w:hAnsi="Ping LCG Regular" w:cs="Arial"/>
                <w:b/>
                <w:bCs/>
                <w:i/>
                <w:spacing w:val="-14"/>
              </w:rPr>
              <w:t>Δ</w:t>
            </w:r>
          </w:p>
        </w:tc>
        <w:tc>
          <w:tcPr>
            <w:tcW w:w="1833" w:type="dxa"/>
            <w:tcBorders>
              <w:top w:val="single" w:sz="8" w:space="0" w:color="auto"/>
              <w:bottom w:val="single" w:sz="6" w:space="0" w:color="auto"/>
            </w:tcBorders>
            <w:shd w:val="clear" w:color="auto" w:fill="9DB1CF"/>
            <w:tcMar>
              <w:top w:w="0" w:type="dxa"/>
              <w:left w:w="108" w:type="dxa"/>
              <w:bottom w:w="0" w:type="dxa"/>
              <w:right w:w="108" w:type="dxa"/>
            </w:tcMar>
            <w:vAlign w:val="center"/>
            <w:hideMark/>
          </w:tcPr>
          <w:p w14:paraId="513EB8AB" w14:textId="2579C4D8" w:rsidR="00E34012" w:rsidRPr="007F675C" w:rsidRDefault="00E34012" w:rsidP="00691AF7">
            <w:pPr>
              <w:autoSpaceDE w:val="0"/>
              <w:autoSpaceDN w:val="0"/>
              <w:ind w:right="18"/>
              <w:jc w:val="center"/>
              <w:rPr>
                <w:rFonts w:ascii="Ping LCG Regular" w:eastAsia="Calibri" w:hAnsi="Ping LCG Regular" w:cs="Arial"/>
                <w:b/>
                <w:bCs/>
                <w:i/>
                <w:spacing w:val="-14"/>
              </w:rPr>
            </w:pPr>
            <w:r w:rsidRPr="007F675C">
              <w:rPr>
                <w:rFonts w:ascii="Ping LCG Regular" w:hAnsi="Ping LCG Regular" w:cs="Arial"/>
                <w:b/>
                <w:bCs/>
                <w:i/>
                <w:spacing w:val="-14"/>
              </w:rPr>
              <w:t>Δ (%)</w:t>
            </w:r>
          </w:p>
        </w:tc>
      </w:tr>
      <w:tr w:rsidR="0050100A" w:rsidRPr="0050100A" w14:paraId="64460250" w14:textId="77777777" w:rsidTr="0081653C">
        <w:trPr>
          <w:trHeight w:val="299"/>
        </w:trPr>
        <w:tc>
          <w:tcPr>
            <w:tcW w:w="2835" w:type="dxa"/>
            <w:tcMar>
              <w:top w:w="0" w:type="dxa"/>
              <w:left w:w="108" w:type="dxa"/>
              <w:bottom w:w="0" w:type="dxa"/>
              <w:right w:w="108" w:type="dxa"/>
            </w:tcMar>
            <w:vAlign w:val="center"/>
            <w:hideMark/>
          </w:tcPr>
          <w:p w14:paraId="3DBE9272" w14:textId="07EDD9CC" w:rsidR="00E34012" w:rsidRPr="0050100A" w:rsidRDefault="00E34012" w:rsidP="003332ED">
            <w:pPr>
              <w:autoSpaceDE w:val="0"/>
              <w:autoSpaceDN w:val="0"/>
              <w:ind w:right="18"/>
              <w:jc w:val="both"/>
              <w:rPr>
                <w:rFonts w:ascii="Ping LCG Regular" w:eastAsia="Calibri" w:hAnsi="Ping LCG Regular" w:cs="Arial"/>
                <w:spacing w:val="-14"/>
                <w:lang w:val="el-GR"/>
              </w:rPr>
            </w:pPr>
            <w:proofErr w:type="spellStart"/>
            <w:r w:rsidRPr="0050100A">
              <w:rPr>
                <w:rFonts w:ascii="Ping LCG Regular" w:hAnsi="Ping LCG Regular" w:cs="Arial"/>
                <w:spacing w:val="-14"/>
              </w:rPr>
              <w:t>Συμ</w:t>
            </w:r>
            <w:proofErr w:type="spellEnd"/>
            <w:r w:rsidRPr="0050100A">
              <w:rPr>
                <w:rFonts w:ascii="Ping LCG Regular" w:hAnsi="Ping LCG Regular" w:cs="Arial"/>
                <w:spacing w:val="-14"/>
              </w:rPr>
              <w:t>βατική παρα</w:t>
            </w:r>
            <w:proofErr w:type="spellStart"/>
            <w:r w:rsidRPr="0050100A">
              <w:rPr>
                <w:rFonts w:ascii="Ping LCG Regular" w:hAnsi="Ping LCG Regular" w:cs="Arial"/>
                <w:spacing w:val="-14"/>
              </w:rPr>
              <w:t>γωγή</w:t>
            </w:r>
            <w:proofErr w:type="spellEnd"/>
            <w:r w:rsidR="0037264E" w:rsidRPr="0050100A">
              <w:rPr>
                <w:rFonts w:ascii="Ping LCG Regular" w:hAnsi="Ping LCG Regular" w:cs="Arial"/>
                <w:spacing w:val="-14"/>
                <w:lang w:val="el-GR"/>
              </w:rPr>
              <w:t xml:space="preserve"> </w:t>
            </w:r>
            <w:r w:rsidR="0037264E" w:rsidRPr="0050100A">
              <w:rPr>
                <w:rFonts w:ascii="Ping LCG Regular" w:hAnsi="Ping LCG Regular" w:cs="Arial"/>
                <w:spacing w:val="-14"/>
                <w:vertAlign w:val="superscript"/>
                <w:lang w:val="el-GR"/>
              </w:rPr>
              <w:t>(*)</w:t>
            </w:r>
          </w:p>
        </w:tc>
        <w:tc>
          <w:tcPr>
            <w:tcW w:w="2127" w:type="dxa"/>
            <w:tcMar>
              <w:top w:w="0" w:type="dxa"/>
              <w:left w:w="108" w:type="dxa"/>
              <w:bottom w:w="0" w:type="dxa"/>
              <w:right w:w="108" w:type="dxa"/>
            </w:tcMar>
            <w:vAlign w:val="center"/>
          </w:tcPr>
          <w:p w14:paraId="5305053E" w14:textId="2A75966E" w:rsidR="00E34012" w:rsidRPr="0050100A" w:rsidRDefault="00D20218" w:rsidP="003332ED">
            <w:pPr>
              <w:autoSpaceDE w:val="0"/>
              <w:autoSpaceDN w:val="0"/>
              <w:ind w:right="18"/>
              <w:jc w:val="center"/>
              <w:rPr>
                <w:rFonts w:ascii="Ping LCG Regular" w:eastAsia="Calibri" w:hAnsi="Ping LCG Regular" w:cs="Arial"/>
                <w:spacing w:val="-14"/>
                <w:lang w:val="el-GR"/>
              </w:rPr>
            </w:pPr>
            <w:r w:rsidRPr="0050100A">
              <w:rPr>
                <w:rFonts w:ascii="Ping LCG Regular" w:eastAsia="Calibri" w:hAnsi="Ping LCG Regular" w:cs="Arial"/>
                <w:spacing w:val="-14"/>
                <w:lang w:val="el-GR"/>
              </w:rPr>
              <w:t>170,5</w:t>
            </w:r>
          </w:p>
        </w:tc>
        <w:tc>
          <w:tcPr>
            <w:tcW w:w="2126" w:type="dxa"/>
            <w:tcMar>
              <w:top w:w="0" w:type="dxa"/>
              <w:left w:w="108" w:type="dxa"/>
              <w:bottom w:w="0" w:type="dxa"/>
              <w:right w:w="108" w:type="dxa"/>
            </w:tcMar>
            <w:vAlign w:val="center"/>
          </w:tcPr>
          <w:p w14:paraId="02A6EF99" w14:textId="0F3EE224" w:rsidR="00E34012" w:rsidRPr="0050100A" w:rsidRDefault="004D0AB2" w:rsidP="004D0AB2">
            <w:pPr>
              <w:autoSpaceDE w:val="0"/>
              <w:autoSpaceDN w:val="0"/>
              <w:ind w:right="18"/>
              <w:jc w:val="center"/>
              <w:rPr>
                <w:rFonts w:ascii="Ping LCG Regular" w:eastAsia="Calibri" w:hAnsi="Ping LCG Regular" w:cs="Arial"/>
                <w:spacing w:val="-14"/>
                <w:lang w:val="el-GR"/>
              </w:rPr>
            </w:pPr>
            <w:r w:rsidRPr="0050100A">
              <w:rPr>
                <w:rFonts w:ascii="Ping LCG Regular" w:eastAsia="Calibri" w:hAnsi="Ping LCG Regular" w:cs="Arial"/>
                <w:spacing w:val="-14"/>
                <w:lang w:val="el-GR"/>
              </w:rPr>
              <w:t>179,5</w:t>
            </w:r>
          </w:p>
        </w:tc>
        <w:tc>
          <w:tcPr>
            <w:tcW w:w="1593" w:type="dxa"/>
          </w:tcPr>
          <w:p w14:paraId="3A279BA3" w14:textId="3A03FAC5" w:rsidR="00E34012" w:rsidRPr="0050100A" w:rsidRDefault="00AF77B1" w:rsidP="003332ED">
            <w:pPr>
              <w:autoSpaceDE w:val="0"/>
              <w:autoSpaceDN w:val="0"/>
              <w:ind w:right="18"/>
              <w:jc w:val="center"/>
              <w:rPr>
                <w:rFonts w:ascii="Ping LCG Regular" w:eastAsia="Calibri" w:hAnsi="Ping LCG Regular" w:cs="Arial"/>
                <w:i/>
                <w:spacing w:val="-14"/>
                <w:lang w:val="el-GR"/>
              </w:rPr>
            </w:pPr>
            <w:r w:rsidRPr="0050100A">
              <w:rPr>
                <w:rFonts w:ascii="Ping LCG Regular" w:eastAsia="Calibri" w:hAnsi="Ping LCG Regular" w:cs="Arial"/>
                <w:i/>
                <w:spacing w:val="-14"/>
                <w:lang w:val="el-GR"/>
              </w:rPr>
              <w:t>-9,0</w:t>
            </w:r>
          </w:p>
        </w:tc>
        <w:tc>
          <w:tcPr>
            <w:tcW w:w="1833" w:type="dxa"/>
            <w:tcMar>
              <w:top w:w="0" w:type="dxa"/>
              <w:left w:w="108" w:type="dxa"/>
              <w:bottom w:w="0" w:type="dxa"/>
              <w:right w:w="108" w:type="dxa"/>
            </w:tcMar>
            <w:vAlign w:val="center"/>
          </w:tcPr>
          <w:p w14:paraId="59426C6A" w14:textId="76D76B2A" w:rsidR="00E34012" w:rsidRPr="0050100A" w:rsidRDefault="00AF77B1" w:rsidP="003332ED">
            <w:pPr>
              <w:autoSpaceDE w:val="0"/>
              <w:autoSpaceDN w:val="0"/>
              <w:ind w:right="18"/>
              <w:jc w:val="center"/>
              <w:rPr>
                <w:rFonts w:ascii="Ping LCG Regular" w:eastAsia="Calibri" w:hAnsi="Ping LCG Regular" w:cs="Arial"/>
                <w:i/>
                <w:spacing w:val="-14"/>
                <w:lang w:val="el-GR"/>
              </w:rPr>
            </w:pPr>
            <w:r w:rsidRPr="0050100A">
              <w:rPr>
                <w:rFonts w:ascii="Ping LCG Regular" w:eastAsia="Calibri" w:hAnsi="Ping LCG Regular" w:cs="Arial"/>
                <w:i/>
                <w:spacing w:val="-14"/>
                <w:lang w:val="el-GR"/>
              </w:rPr>
              <w:t>-5,0%</w:t>
            </w:r>
          </w:p>
        </w:tc>
      </w:tr>
      <w:tr w:rsidR="0050100A" w:rsidRPr="0050100A" w14:paraId="784BAE20" w14:textId="77777777" w:rsidTr="0081653C">
        <w:trPr>
          <w:trHeight w:val="283"/>
        </w:trPr>
        <w:tc>
          <w:tcPr>
            <w:tcW w:w="2835" w:type="dxa"/>
            <w:tcMar>
              <w:top w:w="0" w:type="dxa"/>
              <w:left w:w="108" w:type="dxa"/>
              <w:bottom w:w="0" w:type="dxa"/>
              <w:right w:w="108" w:type="dxa"/>
            </w:tcMar>
            <w:vAlign w:val="center"/>
          </w:tcPr>
          <w:p w14:paraId="6CD3A5CE" w14:textId="0F6B91E5" w:rsidR="00E34012" w:rsidRPr="0050100A" w:rsidRDefault="00E34012" w:rsidP="003332ED">
            <w:pPr>
              <w:autoSpaceDE w:val="0"/>
              <w:autoSpaceDN w:val="0"/>
              <w:ind w:right="18"/>
              <w:jc w:val="both"/>
              <w:rPr>
                <w:rFonts w:ascii="Ping LCG Regular" w:hAnsi="Ping LCG Regular" w:cs="Arial"/>
                <w:spacing w:val="-14"/>
                <w:lang w:val="el-GR"/>
              </w:rPr>
            </w:pPr>
            <w:r w:rsidRPr="0050100A">
              <w:rPr>
                <w:rFonts w:ascii="Ping LCG Regular" w:hAnsi="Ping LCG Regular" w:cs="Arial"/>
                <w:spacing w:val="-14"/>
              </w:rPr>
              <w:t>ΑΠΕ</w:t>
            </w:r>
            <w:r w:rsidR="00BD39C8" w:rsidRPr="0050100A">
              <w:rPr>
                <w:rFonts w:ascii="Ping LCG Regular" w:hAnsi="Ping LCG Regular" w:cs="Arial"/>
                <w:spacing w:val="-14"/>
                <w:lang w:val="el-GR"/>
              </w:rPr>
              <w:t xml:space="preserve"> </w:t>
            </w:r>
            <w:r w:rsidR="00EE7CF3" w:rsidRPr="0050100A">
              <w:rPr>
                <w:rFonts w:ascii="Ping LCG Regular" w:hAnsi="Ping LCG Regular" w:cs="Arial"/>
                <w:spacing w:val="-14"/>
                <w:vertAlign w:val="superscript"/>
                <w:lang w:val="el-GR"/>
              </w:rPr>
              <w:t>(*</w:t>
            </w:r>
            <w:r w:rsidR="00957142" w:rsidRPr="0050100A">
              <w:rPr>
                <w:rFonts w:ascii="Ping LCG Regular" w:hAnsi="Ping LCG Regular" w:cs="Arial"/>
                <w:spacing w:val="-14"/>
                <w:vertAlign w:val="superscript"/>
                <w:lang w:val="el-GR"/>
              </w:rPr>
              <w:t>*</w:t>
            </w:r>
            <w:r w:rsidR="00EE7CF3" w:rsidRPr="0050100A">
              <w:rPr>
                <w:rFonts w:ascii="Ping LCG Regular" w:hAnsi="Ping LCG Regular" w:cs="Arial"/>
                <w:spacing w:val="-14"/>
                <w:vertAlign w:val="superscript"/>
                <w:lang w:val="el-GR"/>
              </w:rPr>
              <w:t>)</w:t>
            </w:r>
          </w:p>
        </w:tc>
        <w:tc>
          <w:tcPr>
            <w:tcW w:w="2127" w:type="dxa"/>
            <w:tcMar>
              <w:top w:w="0" w:type="dxa"/>
              <w:left w:w="108" w:type="dxa"/>
              <w:bottom w:w="0" w:type="dxa"/>
              <w:right w:w="108" w:type="dxa"/>
            </w:tcMar>
            <w:vAlign w:val="center"/>
          </w:tcPr>
          <w:p w14:paraId="0E8CBB83" w14:textId="18DD1B1B" w:rsidR="00E34012" w:rsidRPr="0050100A" w:rsidRDefault="00D20218" w:rsidP="003332ED">
            <w:pPr>
              <w:autoSpaceDE w:val="0"/>
              <w:autoSpaceDN w:val="0"/>
              <w:ind w:right="18"/>
              <w:jc w:val="center"/>
              <w:rPr>
                <w:rFonts w:ascii="Ping LCG Regular" w:eastAsia="Calibri" w:hAnsi="Ping LCG Regular" w:cs="Arial"/>
                <w:spacing w:val="-14"/>
                <w:lang w:val="el-GR"/>
              </w:rPr>
            </w:pPr>
            <w:r w:rsidRPr="0050100A">
              <w:rPr>
                <w:rFonts w:ascii="Ping LCG Regular" w:eastAsia="Calibri" w:hAnsi="Ping LCG Regular" w:cs="Arial"/>
                <w:spacing w:val="-14"/>
                <w:lang w:val="el-GR"/>
              </w:rPr>
              <w:t>32,4</w:t>
            </w:r>
          </w:p>
        </w:tc>
        <w:tc>
          <w:tcPr>
            <w:tcW w:w="2126" w:type="dxa"/>
            <w:tcMar>
              <w:top w:w="0" w:type="dxa"/>
              <w:left w:w="108" w:type="dxa"/>
              <w:bottom w:w="0" w:type="dxa"/>
              <w:right w:w="108" w:type="dxa"/>
            </w:tcMar>
            <w:vAlign w:val="center"/>
          </w:tcPr>
          <w:p w14:paraId="480244D1" w14:textId="6B0F9700" w:rsidR="00E34012" w:rsidRPr="0050100A" w:rsidRDefault="0050100A" w:rsidP="003332ED">
            <w:pPr>
              <w:autoSpaceDE w:val="0"/>
              <w:autoSpaceDN w:val="0"/>
              <w:ind w:right="18"/>
              <w:jc w:val="center"/>
              <w:rPr>
                <w:rFonts w:ascii="Ping LCG Regular" w:eastAsia="Calibri" w:hAnsi="Ping LCG Regular" w:cs="Arial"/>
                <w:spacing w:val="-14"/>
              </w:rPr>
            </w:pPr>
            <w:r w:rsidRPr="0050100A">
              <w:rPr>
                <w:rFonts w:ascii="Ping LCG Regular" w:eastAsia="Calibri" w:hAnsi="Ping LCG Regular" w:cs="Arial"/>
                <w:spacing w:val="-14"/>
              </w:rPr>
              <w:t>18,0</w:t>
            </w:r>
          </w:p>
        </w:tc>
        <w:tc>
          <w:tcPr>
            <w:tcW w:w="1593" w:type="dxa"/>
          </w:tcPr>
          <w:p w14:paraId="090DA6E5" w14:textId="7F0EBAB4" w:rsidR="00E34012" w:rsidRPr="0050100A" w:rsidRDefault="0050100A" w:rsidP="003332ED">
            <w:pPr>
              <w:autoSpaceDE w:val="0"/>
              <w:autoSpaceDN w:val="0"/>
              <w:ind w:right="18"/>
              <w:jc w:val="center"/>
              <w:rPr>
                <w:rFonts w:ascii="Ping LCG Regular" w:eastAsia="Calibri" w:hAnsi="Ping LCG Regular" w:cs="Arial"/>
                <w:i/>
                <w:spacing w:val="-14"/>
              </w:rPr>
            </w:pPr>
            <w:r w:rsidRPr="0050100A">
              <w:rPr>
                <w:rFonts w:ascii="Ping LCG Regular" w:eastAsia="Calibri" w:hAnsi="Ping LCG Regular" w:cs="Arial"/>
                <w:i/>
                <w:spacing w:val="-14"/>
              </w:rPr>
              <w:t>14,4</w:t>
            </w:r>
          </w:p>
        </w:tc>
        <w:tc>
          <w:tcPr>
            <w:tcW w:w="1833" w:type="dxa"/>
            <w:tcMar>
              <w:top w:w="0" w:type="dxa"/>
              <w:left w:w="108" w:type="dxa"/>
              <w:bottom w:w="0" w:type="dxa"/>
              <w:right w:w="108" w:type="dxa"/>
            </w:tcMar>
            <w:vAlign w:val="center"/>
          </w:tcPr>
          <w:p w14:paraId="1A16D08F" w14:textId="027140F6" w:rsidR="00E34012" w:rsidRPr="0050100A" w:rsidRDefault="0050100A" w:rsidP="003332ED">
            <w:pPr>
              <w:autoSpaceDE w:val="0"/>
              <w:autoSpaceDN w:val="0"/>
              <w:ind w:right="18"/>
              <w:jc w:val="center"/>
              <w:rPr>
                <w:rFonts w:ascii="Ping LCG Regular" w:eastAsia="Calibri" w:hAnsi="Ping LCG Regular" w:cs="Arial"/>
                <w:i/>
                <w:spacing w:val="-14"/>
              </w:rPr>
            </w:pPr>
            <w:r w:rsidRPr="0050100A">
              <w:rPr>
                <w:rFonts w:ascii="Ping LCG Regular" w:eastAsia="Calibri" w:hAnsi="Ping LCG Regular" w:cs="Arial"/>
                <w:i/>
                <w:spacing w:val="-14"/>
              </w:rPr>
              <w:t>88,0%</w:t>
            </w:r>
          </w:p>
        </w:tc>
      </w:tr>
      <w:tr w:rsidR="0050100A" w:rsidRPr="00486760" w14:paraId="2BD66370" w14:textId="77777777" w:rsidTr="0081653C">
        <w:trPr>
          <w:trHeight w:val="283"/>
        </w:trPr>
        <w:tc>
          <w:tcPr>
            <w:tcW w:w="2835" w:type="dxa"/>
            <w:tcMar>
              <w:top w:w="0" w:type="dxa"/>
              <w:left w:w="108" w:type="dxa"/>
              <w:bottom w:w="0" w:type="dxa"/>
              <w:right w:w="108" w:type="dxa"/>
            </w:tcMar>
            <w:vAlign w:val="center"/>
            <w:hideMark/>
          </w:tcPr>
          <w:p w14:paraId="0A63F9F7" w14:textId="77777777" w:rsidR="00E34012" w:rsidRPr="00486760" w:rsidRDefault="00E34012" w:rsidP="003332ED">
            <w:pPr>
              <w:autoSpaceDE w:val="0"/>
              <w:autoSpaceDN w:val="0"/>
              <w:ind w:right="18"/>
              <w:jc w:val="both"/>
              <w:rPr>
                <w:rFonts w:ascii="Ping LCG Regular" w:eastAsia="Calibri" w:hAnsi="Ping LCG Regular" w:cs="Arial"/>
                <w:spacing w:val="-14"/>
              </w:rPr>
            </w:pPr>
            <w:proofErr w:type="spellStart"/>
            <w:r w:rsidRPr="00486760">
              <w:rPr>
                <w:rFonts w:ascii="Ping LCG Regular" w:hAnsi="Ping LCG Regular" w:cs="Arial"/>
                <w:spacing w:val="-14"/>
              </w:rPr>
              <w:t>Δίκτυ</w:t>
            </w:r>
            <w:proofErr w:type="spellEnd"/>
            <w:r w:rsidRPr="00486760">
              <w:rPr>
                <w:rFonts w:ascii="Ping LCG Regular" w:hAnsi="Ping LCG Regular" w:cs="Arial"/>
                <w:spacing w:val="-14"/>
              </w:rPr>
              <w:t xml:space="preserve">α </w:t>
            </w:r>
            <w:proofErr w:type="spellStart"/>
            <w:r w:rsidRPr="00486760">
              <w:rPr>
                <w:rFonts w:ascii="Ping LCG Regular" w:hAnsi="Ping LCG Regular" w:cs="Arial"/>
                <w:spacing w:val="-14"/>
              </w:rPr>
              <w:t>Δι</w:t>
            </w:r>
            <w:proofErr w:type="spellEnd"/>
            <w:r w:rsidRPr="00486760">
              <w:rPr>
                <w:rFonts w:ascii="Ping LCG Regular" w:hAnsi="Ping LCG Regular" w:cs="Arial"/>
                <w:spacing w:val="-14"/>
              </w:rPr>
              <w:t>ανομής  </w:t>
            </w:r>
          </w:p>
        </w:tc>
        <w:tc>
          <w:tcPr>
            <w:tcW w:w="2127" w:type="dxa"/>
            <w:tcMar>
              <w:top w:w="0" w:type="dxa"/>
              <w:left w:w="108" w:type="dxa"/>
              <w:bottom w:w="0" w:type="dxa"/>
              <w:right w:w="108" w:type="dxa"/>
            </w:tcMar>
            <w:vAlign w:val="center"/>
          </w:tcPr>
          <w:p w14:paraId="3879216B" w14:textId="48FA5030" w:rsidR="00E34012" w:rsidRPr="00486760" w:rsidRDefault="00D20218" w:rsidP="003332ED">
            <w:pPr>
              <w:autoSpaceDE w:val="0"/>
              <w:autoSpaceDN w:val="0"/>
              <w:ind w:right="18"/>
              <w:jc w:val="center"/>
              <w:rPr>
                <w:rFonts w:ascii="Ping LCG Regular" w:eastAsia="Calibri" w:hAnsi="Ping LCG Regular" w:cs="Arial"/>
                <w:spacing w:val="-14"/>
              </w:rPr>
            </w:pPr>
            <w:r w:rsidRPr="00486760">
              <w:rPr>
                <w:rFonts w:ascii="Ping LCG Regular" w:eastAsia="Calibri" w:hAnsi="Ping LCG Regular" w:cs="Arial"/>
                <w:spacing w:val="-14"/>
                <w:lang w:val="el-GR"/>
              </w:rPr>
              <w:t>2</w:t>
            </w:r>
            <w:r w:rsidR="00486760" w:rsidRPr="00637252">
              <w:rPr>
                <w:rFonts w:ascii="Ping LCG Regular" w:eastAsia="Calibri" w:hAnsi="Ping LCG Regular" w:cs="Arial"/>
                <w:spacing w:val="-14"/>
              </w:rPr>
              <w:t>21,5</w:t>
            </w:r>
          </w:p>
        </w:tc>
        <w:tc>
          <w:tcPr>
            <w:tcW w:w="2126" w:type="dxa"/>
            <w:tcMar>
              <w:top w:w="0" w:type="dxa"/>
              <w:left w:w="108" w:type="dxa"/>
              <w:bottom w:w="0" w:type="dxa"/>
              <w:right w:w="108" w:type="dxa"/>
            </w:tcMar>
            <w:vAlign w:val="center"/>
          </w:tcPr>
          <w:p w14:paraId="1A03D18D" w14:textId="6655E863" w:rsidR="00E34012" w:rsidRPr="00486760" w:rsidRDefault="004D0AB2" w:rsidP="003332ED">
            <w:pPr>
              <w:autoSpaceDE w:val="0"/>
              <w:autoSpaceDN w:val="0"/>
              <w:ind w:right="18"/>
              <w:jc w:val="center"/>
              <w:rPr>
                <w:rFonts w:ascii="Ping LCG Regular" w:eastAsia="Calibri" w:hAnsi="Ping LCG Regular" w:cs="Arial"/>
                <w:spacing w:val="-14"/>
              </w:rPr>
            </w:pPr>
            <w:r w:rsidRPr="00486760">
              <w:rPr>
                <w:rFonts w:ascii="Ping LCG Regular" w:eastAsia="Calibri" w:hAnsi="Ping LCG Regular" w:cs="Arial"/>
                <w:spacing w:val="-14"/>
                <w:lang w:val="el-GR"/>
              </w:rPr>
              <w:t>17</w:t>
            </w:r>
            <w:r w:rsidR="0050100A" w:rsidRPr="00486760">
              <w:rPr>
                <w:rFonts w:ascii="Ping LCG Regular" w:eastAsia="Calibri" w:hAnsi="Ping LCG Regular" w:cs="Arial"/>
                <w:spacing w:val="-14"/>
              </w:rPr>
              <w:t>4</w:t>
            </w:r>
            <w:r w:rsidR="007812BF" w:rsidRPr="00486760">
              <w:rPr>
                <w:rFonts w:ascii="Ping LCG Regular" w:eastAsia="Calibri" w:hAnsi="Ping LCG Regular" w:cs="Arial"/>
                <w:spacing w:val="-14"/>
                <w:lang w:val="el-GR"/>
              </w:rPr>
              <w:t>,</w:t>
            </w:r>
            <w:r w:rsidR="0050100A" w:rsidRPr="00486760">
              <w:rPr>
                <w:rFonts w:ascii="Ping LCG Regular" w:eastAsia="Calibri" w:hAnsi="Ping LCG Regular" w:cs="Arial"/>
                <w:spacing w:val="-14"/>
              </w:rPr>
              <w:t>8</w:t>
            </w:r>
          </w:p>
        </w:tc>
        <w:tc>
          <w:tcPr>
            <w:tcW w:w="1593" w:type="dxa"/>
          </w:tcPr>
          <w:p w14:paraId="7F321AA0" w14:textId="45E32923" w:rsidR="00E34012" w:rsidRPr="00486760" w:rsidRDefault="0050100A" w:rsidP="003332ED">
            <w:pPr>
              <w:autoSpaceDE w:val="0"/>
              <w:autoSpaceDN w:val="0"/>
              <w:ind w:right="18"/>
              <w:jc w:val="center"/>
              <w:rPr>
                <w:rFonts w:ascii="Ping LCG Regular" w:eastAsia="Calibri" w:hAnsi="Ping LCG Regular" w:cs="Arial"/>
                <w:i/>
                <w:spacing w:val="-14"/>
              </w:rPr>
            </w:pPr>
            <w:r w:rsidRPr="00486760">
              <w:rPr>
                <w:rFonts w:ascii="Ping LCG Regular" w:eastAsia="Calibri" w:hAnsi="Ping LCG Regular" w:cs="Arial"/>
                <w:i/>
                <w:spacing w:val="-14"/>
              </w:rPr>
              <w:t>4</w:t>
            </w:r>
            <w:r w:rsidR="00486760" w:rsidRPr="00637252">
              <w:rPr>
                <w:rFonts w:ascii="Ping LCG Regular" w:eastAsia="Calibri" w:hAnsi="Ping LCG Regular" w:cs="Arial"/>
                <w:i/>
                <w:spacing w:val="-14"/>
              </w:rPr>
              <w:t>6,5</w:t>
            </w:r>
          </w:p>
        </w:tc>
        <w:tc>
          <w:tcPr>
            <w:tcW w:w="1833" w:type="dxa"/>
            <w:tcMar>
              <w:top w:w="0" w:type="dxa"/>
              <w:left w:w="108" w:type="dxa"/>
              <w:bottom w:w="0" w:type="dxa"/>
              <w:right w:w="108" w:type="dxa"/>
            </w:tcMar>
            <w:vAlign w:val="center"/>
          </w:tcPr>
          <w:p w14:paraId="1F8AD33C" w14:textId="4E23E864" w:rsidR="00E34012" w:rsidRPr="00486760" w:rsidRDefault="0050100A" w:rsidP="003332ED">
            <w:pPr>
              <w:autoSpaceDE w:val="0"/>
              <w:autoSpaceDN w:val="0"/>
              <w:ind w:right="18"/>
              <w:jc w:val="center"/>
              <w:rPr>
                <w:rFonts w:ascii="Ping LCG Regular" w:eastAsia="Calibri" w:hAnsi="Ping LCG Regular" w:cs="Arial"/>
                <w:i/>
                <w:spacing w:val="-14"/>
                <w:lang w:val="el-GR"/>
              </w:rPr>
            </w:pPr>
            <w:r w:rsidRPr="00486760">
              <w:rPr>
                <w:rFonts w:ascii="Ping LCG Regular" w:eastAsia="Calibri" w:hAnsi="Ping LCG Regular" w:cs="Arial"/>
                <w:i/>
                <w:spacing w:val="-14"/>
              </w:rPr>
              <w:t>2</w:t>
            </w:r>
            <w:r w:rsidR="00486760" w:rsidRPr="00637252">
              <w:rPr>
                <w:rFonts w:ascii="Ping LCG Regular" w:eastAsia="Calibri" w:hAnsi="Ping LCG Regular" w:cs="Arial"/>
                <w:i/>
                <w:spacing w:val="-14"/>
              </w:rPr>
              <w:t>6</w:t>
            </w:r>
            <w:r w:rsidRPr="00486760">
              <w:rPr>
                <w:rFonts w:ascii="Ping LCG Regular" w:eastAsia="Calibri" w:hAnsi="Ping LCG Regular" w:cs="Arial"/>
                <w:i/>
                <w:spacing w:val="-14"/>
              </w:rPr>
              <w:t>,</w:t>
            </w:r>
            <w:r w:rsidR="00486760" w:rsidRPr="00637252">
              <w:rPr>
                <w:rFonts w:ascii="Ping LCG Regular" w:eastAsia="Calibri" w:hAnsi="Ping LCG Regular" w:cs="Arial"/>
                <w:i/>
                <w:spacing w:val="-14"/>
              </w:rPr>
              <w:t>7</w:t>
            </w:r>
            <w:r w:rsidR="00AF77B1" w:rsidRPr="00486760">
              <w:rPr>
                <w:rFonts w:ascii="Ping LCG Regular" w:eastAsia="Calibri" w:hAnsi="Ping LCG Regular" w:cs="Arial"/>
                <w:i/>
                <w:spacing w:val="-14"/>
                <w:lang w:val="el-GR"/>
              </w:rPr>
              <w:t>%</w:t>
            </w:r>
          </w:p>
        </w:tc>
      </w:tr>
      <w:tr w:rsidR="0050100A" w:rsidRPr="00486760" w14:paraId="51DAAF30" w14:textId="77777777" w:rsidTr="0081653C">
        <w:trPr>
          <w:trHeight w:val="283"/>
        </w:trPr>
        <w:tc>
          <w:tcPr>
            <w:tcW w:w="2835" w:type="dxa"/>
            <w:tcMar>
              <w:top w:w="0" w:type="dxa"/>
              <w:left w:w="108" w:type="dxa"/>
              <w:bottom w:w="0" w:type="dxa"/>
              <w:right w:w="108" w:type="dxa"/>
            </w:tcMar>
            <w:vAlign w:val="center"/>
          </w:tcPr>
          <w:p w14:paraId="771965C4" w14:textId="03D042C1" w:rsidR="00032103" w:rsidRPr="00486760" w:rsidRDefault="00032103" w:rsidP="003332ED">
            <w:pPr>
              <w:autoSpaceDE w:val="0"/>
              <w:autoSpaceDN w:val="0"/>
              <w:ind w:right="18"/>
              <w:jc w:val="both"/>
              <w:rPr>
                <w:rFonts w:ascii="Ping LCG Regular" w:hAnsi="Ping LCG Regular" w:cs="Arial"/>
                <w:spacing w:val="-14"/>
                <w:lang w:val="el-GR"/>
              </w:rPr>
            </w:pPr>
            <w:r w:rsidRPr="00486760">
              <w:rPr>
                <w:rFonts w:ascii="Ping LCG Regular" w:hAnsi="Ping LCG Regular" w:cs="Arial"/>
                <w:spacing w:val="-14"/>
                <w:lang w:val="el-GR"/>
              </w:rPr>
              <w:t>Λοιπές</w:t>
            </w:r>
          </w:p>
        </w:tc>
        <w:tc>
          <w:tcPr>
            <w:tcW w:w="2127" w:type="dxa"/>
            <w:tcMar>
              <w:top w:w="0" w:type="dxa"/>
              <w:left w:w="108" w:type="dxa"/>
              <w:bottom w:w="0" w:type="dxa"/>
              <w:right w:w="108" w:type="dxa"/>
            </w:tcMar>
            <w:vAlign w:val="center"/>
          </w:tcPr>
          <w:p w14:paraId="246211E8" w14:textId="3BCCB36D" w:rsidR="00032103" w:rsidRPr="00486760" w:rsidRDefault="007812BF" w:rsidP="003332ED">
            <w:pPr>
              <w:autoSpaceDE w:val="0"/>
              <w:autoSpaceDN w:val="0"/>
              <w:ind w:right="18"/>
              <w:jc w:val="center"/>
              <w:rPr>
                <w:rFonts w:ascii="Ping LCG Regular" w:eastAsia="Calibri" w:hAnsi="Ping LCG Regular" w:cs="Arial"/>
                <w:spacing w:val="-14"/>
              </w:rPr>
            </w:pPr>
            <w:r w:rsidRPr="00486760">
              <w:rPr>
                <w:rFonts w:ascii="Ping LCG Regular" w:eastAsia="Calibri" w:hAnsi="Ping LCG Regular" w:cs="Arial"/>
                <w:spacing w:val="-14"/>
                <w:lang w:val="el-GR"/>
              </w:rPr>
              <w:t>1</w:t>
            </w:r>
            <w:r w:rsidR="00486760" w:rsidRPr="00637252">
              <w:rPr>
                <w:rFonts w:ascii="Ping LCG Regular" w:eastAsia="Calibri" w:hAnsi="Ping LCG Regular" w:cs="Arial"/>
                <w:spacing w:val="-14"/>
              </w:rPr>
              <w:t>3,5</w:t>
            </w:r>
          </w:p>
        </w:tc>
        <w:tc>
          <w:tcPr>
            <w:tcW w:w="2126" w:type="dxa"/>
            <w:tcMar>
              <w:top w:w="0" w:type="dxa"/>
              <w:left w:w="108" w:type="dxa"/>
              <w:bottom w:w="0" w:type="dxa"/>
              <w:right w:w="108" w:type="dxa"/>
            </w:tcMar>
            <w:vAlign w:val="center"/>
          </w:tcPr>
          <w:p w14:paraId="6155B4F1" w14:textId="368F9A5A" w:rsidR="00032103" w:rsidRPr="00486760" w:rsidRDefault="0050100A" w:rsidP="003332ED">
            <w:pPr>
              <w:autoSpaceDE w:val="0"/>
              <w:autoSpaceDN w:val="0"/>
              <w:ind w:right="18"/>
              <w:jc w:val="center"/>
              <w:rPr>
                <w:rFonts w:ascii="Ping LCG Regular" w:eastAsia="Calibri" w:hAnsi="Ping LCG Regular" w:cs="Arial"/>
                <w:spacing w:val="-14"/>
              </w:rPr>
            </w:pPr>
            <w:r w:rsidRPr="00486760">
              <w:rPr>
                <w:rFonts w:ascii="Ping LCG Regular" w:eastAsia="Calibri" w:hAnsi="Ping LCG Regular" w:cs="Arial"/>
                <w:spacing w:val="-14"/>
              </w:rPr>
              <w:t>4,2</w:t>
            </w:r>
          </w:p>
        </w:tc>
        <w:tc>
          <w:tcPr>
            <w:tcW w:w="1593" w:type="dxa"/>
          </w:tcPr>
          <w:p w14:paraId="300B5C37" w14:textId="30B3E4AD" w:rsidR="00032103" w:rsidRPr="00486760" w:rsidRDefault="00486760" w:rsidP="003332ED">
            <w:pPr>
              <w:autoSpaceDE w:val="0"/>
              <w:autoSpaceDN w:val="0"/>
              <w:ind w:right="18"/>
              <w:jc w:val="center"/>
              <w:rPr>
                <w:rFonts w:ascii="Ping LCG Regular" w:eastAsia="Calibri" w:hAnsi="Ping LCG Regular" w:cs="Arial"/>
                <w:i/>
                <w:spacing w:val="-14"/>
              </w:rPr>
            </w:pPr>
            <w:r w:rsidRPr="00637252">
              <w:rPr>
                <w:rFonts w:ascii="Ping LCG Regular" w:eastAsia="Calibri" w:hAnsi="Ping LCG Regular" w:cs="Arial"/>
                <w:i/>
                <w:spacing w:val="-14"/>
              </w:rPr>
              <w:t>9,3</w:t>
            </w:r>
          </w:p>
        </w:tc>
        <w:tc>
          <w:tcPr>
            <w:tcW w:w="1833" w:type="dxa"/>
            <w:tcMar>
              <w:top w:w="0" w:type="dxa"/>
              <w:left w:w="108" w:type="dxa"/>
              <w:bottom w:w="0" w:type="dxa"/>
              <w:right w:w="108" w:type="dxa"/>
            </w:tcMar>
            <w:vAlign w:val="center"/>
          </w:tcPr>
          <w:p w14:paraId="3EDD7B94" w14:textId="201B9D50" w:rsidR="00032103" w:rsidRPr="00486760" w:rsidRDefault="0050100A" w:rsidP="003332ED">
            <w:pPr>
              <w:autoSpaceDE w:val="0"/>
              <w:autoSpaceDN w:val="0"/>
              <w:ind w:right="18"/>
              <w:jc w:val="center"/>
              <w:rPr>
                <w:rFonts w:ascii="Ping LCG Regular" w:eastAsia="Calibri" w:hAnsi="Ping LCG Regular" w:cs="Arial"/>
                <w:i/>
                <w:spacing w:val="-14"/>
              </w:rPr>
            </w:pPr>
            <w:r w:rsidRPr="00486760">
              <w:rPr>
                <w:rFonts w:ascii="Ping LCG Regular" w:eastAsia="Calibri" w:hAnsi="Ping LCG Regular" w:cs="Arial"/>
                <w:i/>
                <w:spacing w:val="-14"/>
              </w:rPr>
              <w:t>2</w:t>
            </w:r>
            <w:r w:rsidR="00486760" w:rsidRPr="00637252">
              <w:rPr>
                <w:rFonts w:ascii="Ping LCG Regular" w:eastAsia="Calibri" w:hAnsi="Ping LCG Regular" w:cs="Arial"/>
                <w:i/>
                <w:spacing w:val="-14"/>
              </w:rPr>
              <w:t>21,4</w:t>
            </w:r>
            <w:r w:rsidRPr="00486760">
              <w:rPr>
                <w:rFonts w:ascii="Ping LCG Regular" w:eastAsia="Calibri" w:hAnsi="Ping LCG Regular" w:cs="Arial"/>
                <w:i/>
                <w:spacing w:val="-14"/>
              </w:rPr>
              <w:t>%</w:t>
            </w:r>
          </w:p>
        </w:tc>
      </w:tr>
      <w:tr w:rsidR="0050100A" w:rsidRPr="0050100A" w14:paraId="3451D67F" w14:textId="77777777" w:rsidTr="0081653C">
        <w:trPr>
          <w:trHeight w:val="283"/>
        </w:trPr>
        <w:tc>
          <w:tcPr>
            <w:tcW w:w="2835" w:type="dxa"/>
            <w:tcMar>
              <w:top w:w="0" w:type="dxa"/>
              <w:left w:w="108" w:type="dxa"/>
              <w:bottom w:w="0" w:type="dxa"/>
              <w:right w:w="108" w:type="dxa"/>
            </w:tcMar>
            <w:vAlign w:val="center"/>
          </w:tcPr>
          <w:p w14:paraId="280D7E18" w14:textId="625D2FFD" w:rsidR="00032103" w:rsidRPr="00486760" w:rsidRDefault="00032103" w:rsidP="006C2EBB">
            <w:pPr>
              <w:autoSpaceDE w:val="0"/>
              <w:autoSpaceDN w:val="0"/>
              <w:ind w:right="18"/>
              <w:rPr>
                <w:rFonts w:ascii="Ping LCG Regular" w:hAnsi="Ping LCG Regular" w:cs="Arial"/>
                <w:b/>
                <w:bCs/>
                <w:spacing w:val="-14"/>
                <w:lang w:val="el-GR"/>
              </w:rPr>
            </w:pPr>
            <w:r w:rsidRPr="00486760">
              <w:rPr>
                <w:rFonts w:ascii="Ping LCG Regular" w:hAnsi="Ping LCG Regular" w:cs="Arial"/>
                <w:b/>
                <w:bCs/>
                <w:spacing w:val="-14"/>
                <w:lang w:val="el-GR"/>
              </w:rPr>
              <w:t>Σύνολο</w:t>
            </w:r>
          </w:p>
        </w:tc>
        <w:tc>
          <w:tcPr>
            <w:tcW w:w="2127" w:type="dxa"/>
            <w:tcMar>
              <w:top w:w="0" w:type="dxa"/>
              <w:left w:w="108" w:type="dxa"/>
              <w:bottom w:w="0" w:type="dxa"/>
              <w:right w:w="108" w:type="dxa"/>
            </w:tcMar>
            <w:vAlign w:val="center"/>
          </w:tcPr>
          <w:p w14:paraId="28AB1DBC" w14:textId="58B1163A" w:rsidR="00032103" w:rsidRPr="00486760" w:rsidRDefault="00D20218" w:rsidP="003332ED">
            <w:pPr>
              <w:autoSpaceDE w:val="0"/>
              <w:autoSpaceDN w:val="0"/>
              <w:ind w:right="18"/>
              <w:jc w:val="center"/>
              <w:rPr>
                <w:rFonts w:ascii="Ping LCG Regular" w:eastAsia="Calibri" w:hAnsi="Ping LCG Regular" w:cs="Arial"/>
                <w:b/>
                <w:bCs/>
                <w:spacing w:val="-14"/>
              </w:rPr>
            </w:pPr>
            <w:r w:rsidRPr="00486760">
              <w:rPr>
                <w:rFonts w:ascii="Ping LCG Regular" w:eastAsia="Calibri" w:hAnsi="Ping LCG Regular" w:cs="Arial"/>
                <w:b/>
                <w:bCs/>
                <w:spacing w:val="-14"/>
                <w:lang w:val="el-GR"/>
              </w:rPr>
              <w:t>4</w:t>
            </w:r>
            <w:r w:rsidR="0050100A" w:rsidRPr="00486760">
              <w:rPr>
                <w:rFonts w:ascii="Ping LCG Regular" w:eastAsia="Calibri" w:hAnsi="Ping LCG Regular" w:cs="Arial"/>
                <w:b/>
                <w:bCs/>
                <w:spacing w:val="-14"/>
              </w:rPr>
              <w:t>3</w:t>
            </w:r>
            <w:r w:rsidR="00C16409" w:rsidRPr="00486760">
              <w:rPr>
                <w:rFonts w:ascii="Ping LCG Regular" w:eastAsia="Calibri" w:hAnsi="Ping LCG Regular" w:cs="Arial"/>
                <w:b/>
                <w:bCs/>
                <w:spacing w:val="-14"/>
              </w:rPr>
              <w:t>7</w:t>
            </w:r>
            <w:r w:rsidRPr="00486760">
              <w:rPr>
                <w:rFonts w:ascii="Ping LCG Regular" w:eastAsia="Calibri" w:hAnsi="Ping LCG Regular" w:cs="Arial"/>
                <w:b/>
                <w:bCs/>
                <w:spacing w:val="-14"/>
                <w:lang w:val="el-GR"/>
              </w:rPr>
              <w:t>,</w:t>
            </w:r>
            <w:r w:rsidR="00C16409" w:rsidRPr="00486760">
              <w:rPr>
                <w:rFonts w:ascii="Ping LCG Regular" w:eastAsia="Calibri" w:hAnsi="Ping LCG Regular" w:cs="Arial"/>
                <w:b/>
                <w:bCs/>
                <w:spacing w:val="-14"/>
              </w:rPr>
              <w:t>9</w:t>
            </w:r>
          </w:p>
        </w:tc>
        <w:tc>
          <w:tcPr>
            <w:tcW w:w="2126" w:type="dxa"/>
            <w:tcMar>
              <w:top w:w="0" w:type="dxa"/>
              <w:left w:w="108" w:type="dxa"/>
              <w:bottom w:w="0" w:type="dxa"/>
              <w:right w:w="108" w:type="dxa"/>
            </w:tcMar>
            <w:vAlign w:val="center"/>
          </w:tcPr>
          <w:p w14:paraId="47A085EB" w14:textId="49472C92" w:rsidR="00032103" w:rsidRPr="00486760" w:rsidRDefault="00AF77B1" w:rsidP="003332ED">
            <w:pPr>
              <w:autoSpaceDE w:val="0"/>
              <w:autoSpaceDN w:val="0"/>
              <w:ind w:right="18"/>
              <w:jc w:val="center"/>
              <w:rPr>
                <w:rFonts w:ascii="Ping LCG Regular" w:eastAsia="Calibri" w:hAnsi="Ping LCG Regular" w:cs="Arial"/>
                <w:b/>
                <w:bCs/>
                <w:spacing w:val="-14"/>
                <w:lang w:val="el-GR"/>
              </w:rPr>
            </w:pPr>
            <w:r w:rsidRPr="00486760">
              <w:rPr>
                <w:rFonts w:ascii="Ping LCG Regular" w:eastAsia="Calibri" w:hAnsi="Ping LCG Regular" w:cs="Arial"/>
                <w:b/>
                <w:bCs/>
                <w:spacing w:val="-14"/>
                <w:lang w:val="el-GR"/>
              </w:rPr>
              <w:t>376,5</w:t>
            </w:r>
          </w:p>
        </w:tc>
        <w:tc>
          <w:tcPr>
            <w:tcW w:w="1593" w:type="dxa"/>
          </w:tcPr>
          <w:p w14:paraId="743E734A" w14:textId="6FC13910" w:rsidR="00032103" w:rsidRPr="00486760" w:rsidRDefault="00C16409" w:rsidP="003332ED">
            <w:pPr>
              <w:autoSpaceDE w:val="0"/>
              <w:autoSpaceDN w:val="0"/>
              <w:ind w:right="18"/>
              <w:jc w:val="center"/>
              <w:rPr>
                <w:rFonts w:ascii="Ping LCG Regular" w:eastAsia="Calibri" w:hAnsi="Ping LCG Regular" w:cs="Arial"/>
                <w:b/>
                <w:bCs/>
                <w:i/>
                <w:spacing w:val="-14"/>
              </w:rPr>
            </w:pPr>
            <w:r w:rsidRPr="00486760">
              <w:rPr>
                <w:rFonts w:ascii="Ping LCG Regular" w:eastAsia="Calibri" w:hAnsi="Ping LCG Regular" w:cs="Arial"/>
                <w:b/>
                <w:bCs/>
                <w:i/>
                <w:spacing w:val="-14"/>
              </w:rPr>
              <w:t>61</w:t>
            </w:r>
            <w:r w:rsidR="0050100A" w:rsidRPr="00486760">
              <w:rPr>
                <w:rFonts w:ascii="Ping LCG Regular" w:eastAsia="Calibri" w:hAnsi="Ping LCG Regular" w:cs="Arial"/>
                <w:b/>
                <w:bCs/>
                <w:i/>
                <w:spacing w:val="-14"/>
              </w:rPr>
              <w:t>,</w:t>
            </w:r>
            <w:r w:rsidRPr="00486760">
              <w:rPr>
                <w:rFonts w:ascii="Ping LCG Regular" w:eastAsia="Calibri" w:hAnsi="Ping LCG Regular" w:cs="Arial"/>
                <w:b/>
                <w:bCs/>
                <w:i/>
                <w:spacing w:val="-14"/>
              </w:rPr>
              <w:t>4</w:t>
            </w:r>
          </w:p>
        </w:tc>
        <w:tc>
          <w:tcPr>
            <w:tcW w:w="1833" w:type="dxa"/>
            <w:tcMar>
              <w:top w:w="0" w:type="dxa"/>
              <w:left w:w="108" w:type="dxa"/>
              <w:bottom w:w="0" w:type="dxa"/>
              <w:right w:w="108" w:type="dxa"/>
            </w:tcMar>
            <w:vAlign w:val="center"/>
          </w:tcPr>
          <w:p w14:paraId="1AD9E5CE" w14:textId="238631CB" w:rsidR="00032103" w:rsidRPr="0050100A" w:rsidRDefault="00AF77B1" w:rsidP="003332ED">
            <w:pPr>
              <w:autoSpaceDE w:val="0"/>
              <w:autoSpaceDN w:val="0"/>
              <w:ind w:right="18"/>
              <w:jc w:val="center"/>
              <w:rPr>
                <w:rFonts w:ascii="Ping LCG Regular" w:eastAsia="Calibri" w:hAnsi="Ping LCG Regular" w:cs="Arial"/>
                <w:b/>
                <w:bCs/>
                <w:i/>
                <w:spacing w:val="-14"/>
                <w:lang w:val="el-GR"/>
              </w:rPr>
            </w:pPr>
            <w:r w:rsidRPr="00486760">
              <w:rPr>
                <w:rFonts w:ascii="Ping LCG Regular" w:eastAsia="Calibri" w:hAnsi="Ping LCG Regular" w:cs="Arial"/>
                <w:b/>
                <w:bCs/>
                <w:i/>
                <w:spacing w:val="-14"/>
                <w:lang w:val="el-GR"/>
              </w:rPr>
              <w:t>1</w:t>
            </w:r>
            <w:r w:rsidR="00C16409" w:rsidRPr="00486760">
              <w:rPr>
                <w:rFonts w:ascii="Ping LCG Regular" w:eastAsia="Calibri" w:hAnsi="Ping LCG Regular" w:cs="Arial"/>
                <w:b/>
                <w:bCs/>
                <w:i/>
                <w:spacing w:val="-14"/>
              </w:rPr>
              <w:t>6</w:t>
            </w:r>
            <w:r w:rsidR="0050100A" w:rsidRPr="00486760">
              <w:rPr>
                <w:rFonts w:ascii="Ping LCG Regular" w:eastAsia="Calibri" w:hAnsi="Ping LCG Regular" w:cs="Arial"/>
                <w:b/>
                <w:bCs/>
                <w:i/>
                <w:spacing w:val="-14"/>
              </w:rPr>
              <w:t>,</w:t>
            </w:r>
            <w:r w:rsidR="00C16409" w:rsidRPr="00486760">
              <w:rPr>
                <w:rFonts w:ascii="Ping LCG Regular" w:eastAsia="Calibri" w:hAnsi="Ping LCG Regular" w:cs="Arial"/>
                <w:b/>
                <w:bCs/>
                <w:i/>
                <w:spacing w:val="-14"/>
              </w:rPr>
              <w:t>3</w:t>
            </w:r>
            <w:r w:rsidRPr="00486760">
              <w:rPr>
                <w:rFonts w:ascii="Ping LCG Regular" w:eastAsia="Calibri" w:hAnsi="Ping LCG Regular" w:cs="Arial"/>
                <w:b/>
                <w:bCs/>
                <w:i/>
                <w:spacing w:val="-14"/>
                <w:lang w:val="el-GR"/>
              </w:rPr>
              <w:t>%</w:t>
            </w:r>
          </w:p>
        </w:tc>
      </w:tr>
    </w:tbl>
    <w:bookmarkEnd w:id="15"/>
    <w:p w14:paraId="2AF5B78D" w14:textId="370BE238" w:rsidR="00957142" w:rsidRPr="00605E8C" w:rsidRDefault="00957142" w:rsidP="00EE7CF3">
      <w:pPr>
        <w:widowControl w:val="0"/>
        <w:autoSpaceDE w:val="0"/>
        <w:autoSpaceDN w:val="0"/>
        <w:adjustRightInd w:val="0"/>
        <w:ind w:left="284" w:right="18" w:hanging="284"/>
        <w:jc w:val="both"/>
        <w:rPr>
          <w:rFonts w:ascii="Ping LCG Regular" w:hAnsi="Ping LCG Regular" w:cs="Arial"/>
          <w:iCs/>
          <w:spacing w:val="-14"/>
          <w:sz w:val="22"/>
          <w:lang w:val="el-GR"/>
        </w:rPr>
      </w:pPr>
      <w:r>
        <w:rPr>
          <w:rFonts w:ascii="Ping LCG Regular" w:hAnsi="Ping LCG Regular" w:cs="Arial"/>
          <w:iCs/>
          <w:spacing w:val="-14"/>
          <w:sz w:val="22"/>
          <w:vertAlign w:val="superscript"/>
          <w:lang w:val="el-GR"/>
        </w:rPr>
        <w:t>(*)</w:t>
      </w:r>
      <w:r>
        <w:rPr>
          <w:rFonts w:ascii="Ping LCG Regular" w:hAnsi="Ping LCG Regular" w:cs="Arial"/>
          <w:iCs/>
          <w:spacing w:val="-14"/>
          <w:sz w:val="22"/>
          <w:vertAlign w:val="superscript"/>
          <w:lang w:val="el-GR"/>
        </w:rPr>
        <w:tab/>
      </w:r>
      <w:r>
        <w:rPr>
          <w:rFonts w:ascii="Ping LCG Regular" w:hAnsi="Ping LCG Regular" w:cs="Arial"/>
          <w:iCs/>
          <w:spacing w:val="-14"/>
          <w:sz w:val="22"/>
          <w:lang w:val="el-GR"/>
        </w:rPr>
        <w:t>Συμπεριλαμβανομένων των επενδύσεων των Ορυχείων</w:t>
      </w:r>
    </w:p>
    <w:p w14:paraId="40AB5E94" w14:textId="314E215D" w:rsidR="00EE7CF3" w:rsidRPr="0081653C" w:rsidRDefault="00EE7CF3" w:rsidP="00EE7CF3">
      <w:pPr>
        <w:widowControl w:val="0"/>
        <w:autoSpaceDE w:val="0"/>
        <w:autoSpaceDN w:val="0"/>
        <w:adjustRightInd w:val="0"/>
        <w:ind w:left="284" w:right="18" w:hanging="284"/>
        <w:jc w:val="both"/>
        <w:rPr>
          <w:rFonts w:ascii="Ping LCG Regular" w:hAnsi="Ping LCG Regular" w:cs="Arial"/>
          <w:iCs/>
          <w:spacing w:val="-14"/>
          <w:sz w:val="22"/>
          <w:lang w:val="el-GR"/>
        </w:rPr>
      </w:pPr>
      <w:r w:rsidRPr="0081653C">
        <w:rPr>
          <w:rFonts w:ascii="Ping LCG Regular" w:hAnsi="Ping LCG Regular" w:cs="Arial"/>
          <w:iCs/>
          <w:spacing w:val="-14"/>
          <w:sz w:val="22"/>
          <w:vertAlign w:val="superscript"/>
          <w:lang w:val="el-GR"/>
        </w:rPr>
        <w:t>(*</w:t>
      </w:r>
      <w:r w:rsidR="00957142">
        <w:rPr>
          <w:rFonts w:ascii="Ping LCG Regular" w:hAnsi="Ping LCG Regular" w:cs="Arial"/>
          <w:iCs/>
          <w:spacing w:val="-14"/>
          <w:sz w:val="22"/>
          <w:vertAlign w:val="superscript"/>
          <w:lang w:val="el-GR"/>
        </w:rPr>
        <w:t>*</w:t>
      </w:r>
      <w:r w:rsidRPr="0081653C">
        <w:rPr>
          <w:rFonts w:ascii="Ping LCG Regular" w:hAnsi="Ping LCG Regular" w:cs="Arial"/>
          <w:iCs/>
          <w:spacing w:val="-14"/>
          <w:sz w:val="22"/>
          <w:vertAlign w:val="superscript"/>
          <w:lang w:val="el-GR"/>
        </w:rPr>
        <w:t>)</w:t>
      </w:r>
      <w:r w:rsidRPr="0081653C">
        <w:rPr>
          <w:rFonts w:ascii="Ping LCG Regular" w:hAnsi="Ping LCG Regular" w:cs="Arial"/>
          <w:iCs/>
          <w:spacing w:val="-14"/>
          <w:sz w:val="22"/>
          <w:lang w:val="el-GR"/>
        </w:rPr>
        <w:t xml:space="preserve">  </w:t>
      </w:r>
      <w:r w:rsidR="00957142">
        <w:rPr>
          <w:rFonts w:ascii="Ping LCG Regular" w:hAnsi="Ping LCG Regular" w:cs="Arial"/>
          <w:iCs/>
          <w:spacing w:val="-14"/>
          <w:sz w:val="22"/>
          <w:lang w:val="el-GR"/>
        </w:rPr>
        <w:tab/>
      </w:r>
      <w:r w:rsidRPr="0081653C">
        <w:rPr>
          <w:rFonts w:ascii="Ping LCG Regular" w:hAnsi="Ping LCG Regular" w:cs="Arial"/>
          <w:iCs/>
          <w:spacing w:val="-14"/>
          <w:sz w:val="22"/>
          <w:lang w:val="el-GR"/>
        </w:rPr>
        <w:t>Συμπεριλαμβανομένων των επενδύσεων σε Υδροηλεκτρικούς Σταθμούς.</w:t>
      </w:r>
    </w:p>
    <w:p w14:paraId="6F6AC0B5" w14:textId="77777777" w:rsidR="003332ED" w:rsidRPr="00B26EE8" w:rsidRDefault="003332ED" w:rsidP="00A249A6">
      <w:pPr>
        <w:rPr>
          <w:rFonts w:ascii="Ping LCG Regular" w:hAnsi="Ping LCG Regular" w:cs="Arial"/>
          <w:b/>
          <w:bCs/>
          <w:spacing w:val="-14"/>
          <w:highlight w:val="yellow"/>
          <w:lang w:val="el-GR"/>
        </w:rPr>
      </w:pPr>
    </w:p>
    <w:p w14:paraId="1B70532F" w14:textId="77777777" w:rsidR="00A249A6" w:rsidRPr="0081653C" w:rsidRDefault="00A249A6" w:rsidP="00A249A6">
      <w:pPr>
        <w:rPr>
          <w:rFonts w:ascii="Ping LCG Regular" w:hAnsi="Ping LCG Regular" w:cs="Arial"/>
          <w:b/>
          <w:bCs/>
          <w:spacing w:val="-14"/>
          <w:lang w:val="el-GR"/>
        </w:rPr>
      </w:pPr>
      <w:bookmarkStart w:id="16" w:name="_Hlk88923084"/>
      <w:bookmarkStart w:id="17" w:name="_Hlk88922774"/>
      <w:bookmarkStart w:id="18" w:name="_Hlk68249947"/>
      <w:bookmarkStart w:id="19" w:name="_Hlk88594727"/>
      <w:r w:rsidRPr="0081653C">
        <w:rPr>
          <w:rFonts w:ascii="Ping LCG Regular" w:hAnsi="Ping LCG Regular" w:cs="Arial"/>
          <w:b/>
          <w:bCs/>
          <w:spacing w:val="-14"/>
          <w:lang w:val="el-GR"/>
        </w:rPr>
        <w:t>Καθαρό Χρέος</w:t>
      </w:r>
    </w:p>
    <w:p w14:paraId="48066AD4" w14:textId="7CFBD13F" w:rsidR="003E5B66" w:rsidRPr="00FF587F" w:rsidRDefault="003E5B66" w:rsidP="004D0AB2">
      <w:pPr>
        <w:jc w:val="both"/>
        <w:rPr>
          <w:rFonts w:ascii="Ping LCG Regular" w:hAnsi="Ping LCG Regular" w:cs="Arial"/>
          <w:spacing w:val="-14"/>
          <w:lang w:val="el-GR"/>
        </w:rPr>
      </w:pPr>
      <w:bookmarkStart w:id="20" w:name="_Hlk81172011"/>
      <w:r w:rsidRPr="003E5B66">
        <w:rPr>
          <w:rFonts w:ascii="Ping LCG Regular" w:hAnsi="Ping LCG Regular" w:cs="Arial"/>
          <w:spacing w:val="-14"/>
          <w:lang w:val="el-GR"/>
        </w:rPr>
        <w:t>Το καθαρό χρέος στις 3</w:t>
      </w:r>
      <w:r w:rsidR="004D0AB2">
        <w:rPr>
          <w:rFonts w:ascii="Ping LCG Regular" w:hAnsi="Ping LCG Regular" w:cs="Arial"/>
          <w:spacing w:val="-14"/>
          <w:lang w:val="el-GR"/>
        </w:rPr>
        <w:t>1</w:t>
      </w:r>
      <w:r w:rsidRPr="003E5B66">
        <w:rPr>
          <w:rFonts w:ascii="Ping LCG Regular" w:hAnsi="Ping LCG Regular" w:cs="Arial"/>
          <w:spacing w:val="-14"/>
          <w:lang w:val="el-GR"/>
        </w:rPr>
        <w:t>.</w:t>
      </w:r>
      <w:r w:rsidR="004D0AB2">
        <w:rPr>
          <w:rFonts w:ascii="Ping LCG Regular" w:hAnsi="Ping LCG Regular" w:cs="Arial"/>
          <w:spacing w:val="-14"/>
          <w:lang w:val="el-GR"/>
        </w:rPr>
        <w:t>12</w:t>
      </w:r>
      <w:r w:rsidRPr="003E5B66">
        <w:rPr>
          <w:rFonts w:ascii="Ping LCG Regular" w:hAnsi="Ping LCG Regular" w:cs="Arial"/>
          <w:spacing w:val="-14"/>
          <w:lang w:val="el-GR"/>
        </w:rPr>
        <w:t>.2021 ήταν €</w:t>
      </w:r>
      <w:r w:rsidR="004D0AB2">
        <w:rPr>
          <w:rFonts w:ascii="Ping LCG Regular" w:hAnsi="Ping LCG Regular" w:cs="Arial"/>
          <w:spacing w:val="-14"/>
          <w:lang w:val="el-GR"/>
        </w:rPr>
        <w:t>1</w:t>
      </w:r>
      <w:r w:rsidRPr="003E5B66">
        <w:rPr>
          <w:rFonts w:ascii="Ping LCG Regular" w:hAnsi="Ping LCG Regular" w:cs="Arial"/>
          <w:spacing w:val="-14"/>
          <w:lang w:val="el-GR"/>
        </w:rPr>
        <w:t>.</w:t>
      </w:r>
      <w:r w:rsidR="00AC4541">
        <w:rPr>
          <w:rFonts w:ascii="Ping LCG Regular" w:hAnsi="Ping LCG Regular" w:cs="Arial"/>
          <w:spacing w:val="-14"/>
          <w:lang w:val="el-GR"/>
        </w:rPr>
        <w:t>889</w:t>
      </w:r>
      <w:r w:rsidR="004D0AB2">
        <w:rPr>
          <w:rFonts w:ascii="Ping LCG Regular" w:hAnsi="Ping LCG Regular" w:cs="Arial"/>
          <w:spacing w:val="-14"/>
          <w:lang w:val="el-GR"/>
        </w:rPr>
        <w:t>,</w:t>
      </w:r>
      <w:r w:rsidR="00AC4541">
        <w:rPr>
          <w:rFonts w:ascii="Ping LCG Regular" w:hAnsi="Ping LCG Regular" w:cs="Arial"/>
          <w:spacing w:val="-14"/>
          <w:lang w:val="el-GR"/>
        </w:rPr>
        <w:t>8</w:t>
      </w:r>
      <w:r w:rsidRPr="003E5B66">
        <w:rPr>
          <w:rFonts w:ascii="Ping LCG Regular" w:hAnsi="Ping LCG Regular" w:cs="Arial"/>
          <w:spacing w:val="-14"/>
          <w:lang w:val="el-GR"/>
        </w:rPr>
        <w:t xml:space="preserve"> εκατ., </w:t>
      </w:r>
      <w:r w:rsidR="004D0AB2">
        <w:rPr>
          <w:rFonts w:ascii="Ping LCG Regular" w:hAnsi="Ping LCG Regular" w:cs="Arial"/>
          <w:spacing w:val="-14"/>
          <w:lang w:val="el-GR"/>
        </w:rPr>
        <w:t>μειω</w:t>
      </w:r>
      <w:r w:rsidRPr="003E5B66">
        <w:rPr>
          <w:rFonts w:ascii="Ping LCG Regular" w:hAnsi="Ping LCG Regular" w:cs="Arial"/>
          <w:spacing w:val="-14"/>
          <w:lang w:val="el-GR"/>
        </w:rPr>
        <w:t>μένο κατά €</w:t>
      </w:r>
      <w:r w:rsidR="004D0AB2">
        <w:rPr>
          <w:rFonts w:ascii="Ping LCG Regular" w:hAnsi="Ping LCG Regular" w:cs="Arial"/>
          <w:spacing w:val="-14"/>
          <w:lang w:val="el-GR"/>
        </w:rPr>
        <w:t>1.3</w:t>
      </w:r>
      <w:r w:rsidR="00AC4541">
        <w:rPr>
          <w:rFonts w:ascii="Ping LCG Regular" w:hAnsi="Ping LCG Regular" w:cs="Arial"/>
          <w:spacing w:val="-14"/>
          <w:lang w:val="el-GR"/>
        </w:rPr>
        <w:t xml:space="preserve">93,8 </w:t>
      </w:r>
      <w:r w:rsidRPr="003E5B66">
        <w:rPr>
          <w:rFonts w:ascii="Ping LCG Regular" w:hAnsi="Ping LCG Regular" w:cs="Arial"/>
          <w:spacing w:val="-14"/>
          <w:lang w:val="el-GR"/>
        </w:rPr>
        <w:t xml:space="preserve">εκατ. σε σχέση με την 31.12.2020 (€3.283,6 εκατ.).  Εντός του </w:t>
      </w:r>
      <w:r w:rsidRPr="00FF587F">
        <w:rPr>
          <w:rFonts w:ascii="Ping LCG Regular" w:hAnsi="Ping LCG Regular" w:cs="Arial"/>
          <w:spacing w:val="-14"/>
          <w:lang w:val="el-GR"/>
        </w:rPr>
        <w:t>2021 εκδόθηκαν ομολογίες βιωσιμότητας συνολικού ύψους €</w:t>
      </w:r>
      <w:r w:rsidR="0033444E" w:rsidRPr="00FF587F">
        <w:rPr>
          <w:rFonts w:ascii="Ping LCG Regular" w:hAnsi="Ping LCG Regular" w:cs="Arial"/>
          <w:spacing w:val="-14"/>
          <w:lang w:val="el-GR"/>
        </w:rPr>
        <w:t>1.</w:t>
      </w:r>
      <w:r w:rsidR="00217A10" w:rsidRPr="00FF587F">
        <w:rPr>
          <w:rFonts w:ascii="Ping LCG Regular" w:hAnsi="Ping LCG Regular" w:cs="Arial"/>
          <w:spacing w:val="-14"/>
          <w:lang w:val="el-GR"/>
        </w:rPr>
        <w:t>2</w:t>
      </w:r>
      <w:r w:rsidRPr="00FF587F">
        <w:rPr>
          <w:rFonts w:ascii="Ping LCG Regular" w:hAnsi="Ping LCG Regular" w:cs="Arial"/>
          <w:spacing w:val="-14"/>
          <w:lang w:val="el-GR"/>
        </w:rPr>
        <w:t>75 εκατ.</w:t>
      </w:r>
      <w:r w:rsidR="00217A10" w:rsidRPr="00FF587F">
        <w:rPr>
          <w:rFonts w:ascii="Ping LCG Regular" w:hAnsi="Ping LCG Regular" w:cs="Arial"/>
          <w:spacing w:val="-14"/>
          <w:lang w:val="el-GR"/>
        </w:rPr>
        <w:t xml:space="preserve">, </w:t>
      </w:r>
      <w:r w:rsidR="00CD3465" w:rsidRPr="00FF587F">
        <w:rPr>
          <w:rFonts w:ascii="Ping LCG Regular" w:hAnsi="Ping LCG Regular" w:cs="Arial"/>
          <w:spacing w:val="-14"/>
          <w:lang w:val="el-GR"/>
        </w:rPr>
        <w:t>εκ των οποίων €1.</w:t>
      </w:r>
      <w:r w:rsidR="00FF587F" w:rsidRPr="00FF587F">
        <w:rPr>
          <w:rFonts w:ascii="Ping LCG Regular" w:hAnsi="Ping LCG Regular" w:cs="Arial"/>
          <w:spacing w:val="-14"/>
          <w:lang w:val="el-GR"/>
        </w:rPr>
        <w:t>07</w:t>
      </w:r>
      <w:r w:rsidR="00715C64" w:rsidRPr="00470372">
        <w:rPr>
          <w:rFonts w:ascii="Ping LCG Regular" w:hAnsi="Ping LCG Regular" w:cs="Arial"/>
          <w:spacing w:val="-14"/>
          <w:lang w:val="el-GR"/>
        </w:rPr>
        <w:t>0</w:t>
      </w:r>
      <w:r w:rsidR="00CD3465" w:rsidRPr="00FF587F">
        <w:rPr>
          <w:rFonts w:ascii="Ping LCG Regular" w:hAnsi="Ping LCG Regular" w:cs="Arial"/>
          <w:spacing w:val="-14"/>
          <w:lang w:val="el-GR"/>
        </w:rPr>
        <w:t xml:space="preserve"> εκατ. χρησιμοποιήθηκαν για την αποπληρωμή δανεισμού</w:t>
      </w:r>
      <w:r w:rsidRPr="00FF587F">
        <w:rPr>
          <w:rFonts w:ascii="Ping LCG Regular" w:hAnsi="Ping LCG Regular" w:cs="Arial"/>
          <w:spacing w:val="-14"/>
          <w:lang w:val="el-GR"/>
        </w:rPr>
        <w:t>.</w:t>
      </w:r>
      <w:r w:rsidR="00107248">
        <w:rPr>
          <w:rFonts w:ascii="Ping LCG Regular" w:hAnsi="Ping LCG Regular" w:cs="Arial"/>
          <w:spacing w:val="-14"/>
          <w:lang w:val="el-GR"/>
        </w:rPr>
        <w:t xml:space="preserve"> </w:t>
      </w:r>
      <w:r w:rsidR="008A5812">
        <w:rPr>
          <w:rFonts w:ascii="Ping LCG Regular" w:hAnsi="Ping LCG Regular" w:cs="Arial"/>
          <w:spacing w:val="-14"/>
          <w:lang w:val="el-GR"/>
        </w:rPr>
        <w:t>Σημειώνεται</w:t>
      </w:r>
      <w:r w:rsidR="00507329">
        <w:rPr>
          <w:rFonts w:ascii="Ping LCG Regular" w:hAnsi="Ping LCG Regular" w:cs="Arial"/>
          <w:spacing w:val="-14"/>
          <w:lang w:val="el-GR"/>
        </w:rPr>
        <w:t xml:space="preserve"> ότι στον υπολογισμό του καθαρού χρέους έχουν ληφθεί υπόψη και τα έσοδα ύψους €1,3 δισ. από την Αύξηση Μετοχικού Κεφαλαίου που ολοκληρώθηκε τον Νοέμβριο του 2021.</w:t>
      </w:r>
    </w:p>
    <w:bookmarkEnd w:id="16"/>
    <w:p w14:paraId="20E2AAB1" w14:textId="4AAF741D" w:rsidR="00A249A6" w:rsidRPr="0081653C" w:rsidRDefault="00BC625E" w:rsidP="00A249A6">
      <w:pPr>
        <w:rPr>
          <w:rFonts w:ascii="Ping LCG Regular" w:hAnsi="Ping LCG Regular" w:cs="Arial"/>
          <w:spacing w:val="-14"/>
          <w:lang w:val="el-GR"/>
        </w:rPr>
      </w:pPr>
      <w:r w:rsidRPr="00FF587F">
        <w:rPr>
          <w:rFonts w:ascii="Ping LCG Regular" w:hAnsi="Ping LCG Regular" w:cs="Arial"/>
          <w:spacing w:val="-14"/>
          <w:lang w:val="el-GR"/>
        </w:rPr>
        <w:t>Ακολουθεί η ε</w:t>
      </w:r>
      <w:r w:rsidR="00A249A6" w:rsidRPr="00FF587F">
        <w:rPr>
          <w:rFonts w:ascii="Ping LCG Regular" w:hAnsi="Ping LCG Regular" w:cs="Arial"/>
          <w:spacing w:val="-14"/>
          <w:lang w:val="el-GR"/>
        </w:rPr>
        <w:t xml:space="preserve">ξέλιξη </w:t>
      </w:r>
      <w:r w:rsidRPr="00FF587F">
        <w:rPr>
          <w:rFonts w:ascii="Ping LCG Regular" w:hAnsi="Ping LCG Regular" w:cs="Arial"/>
          <w:spacing w:val="-14"/>
          <w:lang w:val="el-GR"/>
        </w:rPr>
        <w:t xml:space="preserve">του </w:t>
      </w:r>
      <w:r w:rsidR="00A249A6" w:rsidRPr="00FF587F">
        <w:rPr>
          <w:rFonts w:ascii="Ping LCG Regular" w:hAnsi="Ping LCG Regular" w:cs="Arial"/>
          <w:spacing w:val="-14"/>
          <w:lang w:val="el-GR"/>
        </w:rPr>
        <w:t>Καθαρού Χρέους</w:t>
      </w:r>
      <w:r w:rsidRPr="0081653C">
        <w:rPr>
          <w:rFonts w:ascii="Ping LCG Regular" w:hAnsi="Ping LCG Regular" w:cs="Arial"/>
          <w:spacing w:val="-14"/>
          <w:lang w:val="el-GR"/>
        </w:rPr>
        <w:t>:</w:t>
      </w:r>
    </w:p>
    <w:tbl>
      <w:tblPr>
        <w:tblpPr w:leftFromText="180" w:rightFromText="180" w:vertAnchor="text" w:horzAnchor="margin" w:tblpXSpec="center" w:tblpY="240"/>
        <w:tblW w:w="1050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90"/>
        <w:gridCol w:w="2127"/>
        <w:gridCol w:w="1984"/>
      </w:tblGrid>
      <w:tr w:rsidR="004D0AB2" w:rsidRPr="0081653C" w14:paraId="280974C0" w14:textId="100476ED" w:rsidTr="00E14B07">
        <w:trPr>
          <w:trHeight w:val="285"/>
          <w:jc w:val="center"/>
        </w:trPr>
        <w:tc>
          <w:tcPr>
            <w:tcW w:w="6390" w:type="dxa"/>
            <w:tcBorders>
              <w:top w:val="single" w:sz="8" w:space="0" w:color="auto"/>
              <w:bottom w:val="single" w:sz="6" w:space="0" w:color="auto"/>
            </w:tcBorders>
            <w:shd w:val="clear" w:color="auto" w:fill="9DB1CF"/>
            <w:tcMar>
              <w:top w:w="0" w:type="dxa"/>
              <w:left w:w="108" w:type="dxa"/>
              <w:bottom w:w="0" w:type="dxa"/>
              <w:right w:w="108" w:type="dxa"/>
            </w:tcMar>
            <w:vAlign w:val="center"/>
            <w:hideMark/>
          </w:tcPr>
          <w:bookmarkEnd w:id="17"/>
          <w:bookmarkEnd w:id="20"/>
          <w:p w14:paraId="32BB1853" w14:textId="77777777" w:rsidR="004D0AB2" w:rsidRPr="0081653C" w:rsidRDefault="004D0AB2" w:rsidP="00795801">
            <w:pPr>
              <w:autoSpaceDE w:val="0"/>
              <w:autoSpaceDN w:val="0"/>
              <w:ind w:right="20"/>
              <w:rPr>
                <w:rFonts w:ascii="Ping LCG Regular" w:eastAsia="Calibri" w:hAnsi="Ping LCG Regular" w:cs="Arial"/>
                <w:spacing w:val="-14"/>
              </w:rPr>
            </w:pPr>
            <w:r w:rsidRPr="0081653C">
              <w:rPr>
                <w:rFonts w:ascii="Ping LCG Regular" w:hAnsi="Ping LCG Regular" w:cs="Arial"/>
                <w:spacing w:val="-14"/>
                <w:lang w:val="el-GR"/>
              </w:rPr>
              <w:t xml:space="preserve"> </w:t>
            </w:r>
            <w:r w:rsidRPr="0081653C">
              <w:rPr>
                <w:rFonts w:ascii="Ping LCG Regular" w:hAnsi="Ping LCG Regular" w:cs="Arial"/>
                <w:spacing w:val="-14"/>
              </w:rPr>
              <w:t>(</w:t>
            </w:r>
            <w:proofErr w:type="spellStart"/>
            <w:r w:rsidRPr="0081653C">
              <w:rPr>
                <w:rFonts w:ascii="Ping LCG Regular" w:hAnsi="Ping LCG Regular" w:cs="Arial"/>
                <w:spacing w:val="-14"/>
              </w:rPr>
              <w:t>σε</w:t>
            </w:r>
            <w:proofErr w:type="spellEnd"/>
            <w:r w:rsidRPr="0081653C">
              <w:rPr>
                <w:rFonts w:ascii="Ping LCG Regular" w:hAnsi="Ping LCG Regular" w:cs="Arial"/>
                <w:spacing w:val="-14"/>
              </w:rPr>
              <w:t xml:space="preserve"> € </w:t>
            </w:r>
            <w:proofErr w:type="spellStart"/>
            <w:r w:rsidRPr="0081653C">
              <w:rPr>
                <w:rFonts w:ascii="Ping LCG Regular" w:hAnsi="Ping LCG Regular" w:cs="Arial"/>
                <w:spacing w:val="-14"/>
              </w:rPr>
              <w:t>εκ</w:t>
            </w:r>
            <w:proofErr w:type="spellEnd"/>
            <w:r w:rsidRPr="0081653C">
              <w:rPr>
                <w:rFonts w:ascii="Ping LCG Regular" w:hAnsi="Ping LCG Regular" w:cs="Arial"/>
                <w:spacing w:val="-14"/>
              </w:rPr>
              <w:t>ατ.)</w:t>
            </w:r>
          </w:p>
        </w:tc>
        <w:tc>
          <w:tcPr>
            <w:tcW w:w="2127" w:type="dxa"/>
            <w:tcBorders>
              <w:top w:val="single" w:sz="8" w:space="0" w:color="auto"/>
              <w:bottom w:val="single" w:sz="6" w:space="0" w:color="auto"/>
            </w:tcBorders>
            <w:shd w:val="clear" w:color="auto" w:fill="9DB1CF"/>
            <w:vAlign w:val="center"/>
          </w:tcPr>
          <w:p w14:paraId="4EA101B1" w14:textId="14EAD6D0" w:rsidR="004D0AB2" w:rsidRPr="0081653C" w:rsidRDefault="004D0AB2" w:rsidP="00795801">
            <w:pPr>
              <w:jc w:val="center"/>
              <w:rPr>
                <w:rFonts w:ascii="Ping LCG Regular" w:hAnsi="Ping LCG Regular" w:cs="Arial"/>
                <w:b/>
              </w:rPr>
            </w:pPr>
            <w:r w:rsidRPr="0081653C">
              <w:rPr>
                <w:rFonts w:ascii="Ping LCG Regular" w:hAnsi="Ping LCG Regular" w:cs="Arial"/>
                <w:b/>
              </w:rPr>
              <w:t>3</w:t>
            </w:r>
            <w:r>
              <w:rPr>
                <w:rFonts w:ascii="Ping LCG Regular" w:hAnsi="Ping LCG Regular" w:cs="Arial"/>
                <w:b/>
                <w:lang w:val="el-GR"/>
              </w:rPr>
              <w:t>1</w:t>
            </w:r>
            <w:r w:rsidRPr="0081653C">
              <w:rPr>
                <w:rFonts w:ascii="Ping LCG Regular" w:hAnsi="Ping LCG Regular" w:cs="Arial"/>
                <w:b/>
              </w:rPr>
              <w:t>.</w:t>
            </w:r>
            <w:r>
              <w:rPr>
                <w:rFonts w:ascii="Ping LCG Regular" w:hAnsi="Ping LCG Regular" w:cs="Arial"/>
                <w:b/>
                <w:lang w:val="el-GR"/>
              </w:rPr>
              <w:t>12</w:t>
            </w:r>
            <w:r w:rsidRPr="0081653C">
              <w:rPr>
                <w:rFonts w:ascii="Ping LCG Regular" w:hAnsi="Ping LCG Regular" w:cs="Arial"/>
                <w:b/>
              </w:rPr>
              <w:t>.202</w:t>
            </w:r>
            <w:r w:rsidRPr="0081653C">
              <w:rPr>
                <w:rFonts w:ascii="Ping LCG Regular" w:hAnsi="Ping LCG Regular" w:cs="Arial"/>
                <w:b/>
                <w:lang w:val="el-GR"/>
              </w:rPr>
              <w:t>1</w:t>
            </w:r>
          </w:p>
        </w:tc>
        <w:tc>
          <w:tcPr>
            <w:tcW w:w="1984" w:type="dxa"/>
            <w:tcBorders>
              <w:top w:val="single" w:sz="8" w:space="0" w:color="auto"/>
              <w:bottom w:val="single" w:sz="6" w:space="0" w:color="auto"/>
            </w:tcBorders>
            <w:shd w:val="clear" w:color="auto" w:fill="9DB1CF"/>
            <w:vAlign w:val="center"/>
          </w:tcPr>
          <w:p w14:paraId="2A1FFBBE" w14:textId="080215A0" w:rsidR="004D0AB2" w:rsidRPr="0081653C" w:rsidRDefault="004D0AB2" w:rsidP="00795801">
            <w:pPr>
              <w:jc w:val="center"/>
              <w:rPr>
                <w:rFonts w:ascii="Ping LCG Regular" w:hAnsi="Ping LCG Regular" w:cs="Arial"/>
                <w:b/>
              </w:rPr>
            </w:pPr>
            <w:r w:rsidRPr="0081653C">
              <w:rPr>
                <w:rFonts w:ascii="Ping LCG Regular" w:hAnsi="Ping LCG Regular" w:cs="Arial"/>
                <w:b/>
              </w:rPr>
              <w:t>3</w:t>
            </w:r>
            <w:r w:rsidRPr="0081653C">
              <w:rPr>
                <w:rFonts w:ascii="Ping LCG Regular" w:hAnsi="Ping LCG Regular" w:cs="Arial"/>
                <w:b/>
                <w:lang w:val="el-GR"/>
              </w:rPr>
              <w:t>1</w:t>
            </w:r>
            <w:r w:rsidRPr="0081653C">
              <w:rPr>
                <w:rFonts w:ascii="Ping LCG Regular" w:hAnsi="Ping LCG Regular" w:cs="Arial"/>
                <w:b/>
              </w:rPr>
              <w:t>.</w:t>
            </w:r>
            <w:r w:rsidRPr="0081653C">
              <w:rPr>
                <w:rFonts w:ascii="Ping LCG Regular" w:hAnsi="Ping LCG Regular" w:cs="Arial"/>
                <w:b/>
                <w:lang w:val="el-GR"/>
              </w:rPr>
              <w:t>12</w:t>
            </w:r>
            <w:r w:rsidRPr="0081653C">
              <w:rPr>
                <w:rFonts w:ascii="Ping LCG Regular" w:hAnsi="Ping LCG Regular" w:cs="Arial"/>
                <w:b/>
              </w:rPr>
              <w:t>.2020</w:t>
            </w:r>
          </w:p>
        </w:tc>
      </w:tr>
      <w:tr w:rsidR="004D0AB2" w:rsidRPr="0081653C" w14:paraId="4CD5BDFA" w14:textId="0F3E19BF" w:rsidTr="004D0AB2">
        <w:trPr>
          <w:trHeight w:val="304"/>
          <w:jc w:val="center"/>
        </w:trPr>
        <w:tc>
          <w:tcPr>
            <w:tcW w:w="6390" w:type="dxa"/>
            <w:tcBorders>
              <w:top w:val="single" w:sz="6" w:space="0" w:color="auto"/>
            </w:tcBorders>
            <w:tcMar>
              <w:top w:w="0" w:type="dxa"/>
              <w:left w:w="108" w:type="dxa"/>
              <w:bottom w:w="0" w:type="dxa"/>
              <w:right w:w="108" w:type="dxa"/>
            </w:tcMar>
            <w:hideMark/>
          </w:tcPr>
          <w:p w14:paraId="0DD0C398" w14:textId="77777777" w:rsidR="004D0AB2" w:rsidRPr="0081653C" w:rsidRDefault="004D0AB2" w:rsidP="00795801">
            <w:pPr>
              <w:autoSpaceDE w:val="0"/>
              <w:autoSpaceDN w:val="0"/>
              <w:ind w:right="20"/>
              <w:jc w:val="both"/>
              <w:rPr>
                <w:rFonts w:ascii="Ping LCG Regular" w:eastAsia="Calibri" w:hAnsi="Ping LCG Regular" w:cs="Arial"/>
                <w:spacing w:val="-14"/>
              </w:rPr>
            </w:pPr>
            <w:proofErr w:type="spellStart"/>
            <w:r w:rsidRPr="0081653C">
              <w:rPr>
                <w:rFonts w:ascii="Ping LCG Regular" w:hAnsi="Ping LCG Regular" w:cs="Arial"/>
                <w:spacing w:val="-14"/>
              </w:rPr>
              <w:t>Συνολικό</w:t>
            </w:r>
            <w:proofErr w:type="spellEnd"/>
            <w:r w:rsidRPr="0081653C">
              <w:rPr>
                <w:rFonts w:ascii="Ping LCG Regular" w:hAnsi="Ping LCG Regular" w:cs="Arial"/>
                <w:spacing w:val="-14"/>
              </w:rPr>
              <w:t xml:space="preserve"> </w:t>
            </w:r>
            <w:proofErr w:type="spellStart"/>
            <w:r w:rsidRPr="0081653C">
              <w:rPr>
                <w:rFonts w:ascii="Ping LCG Regular" w:hAnsi="Ping LCG Regular" w:cs="Arial"/>
                <w:spacing w:val="-14"/>
              </w:rPr>
              <w:t>Χρέος</w:t>
            </w:r>
            <w:proofErr w:type="spellEnd"/>
            <w:r w:rsidRPr="0081653C">
              <w:rPr>
                <w:rFonts w:ascii="Ping LCG Regular" w:hAnsi="Ping LCG Regular" w:cs="Arial"/>
                <w:spacing w:val="-14"/>
              </w:rPr>
              <w:t xml:space="preserve"> (1)</w:t>
            </w:r>
          </w:p>
        </w:tc>
        <w:tc>
          <w:tcPr>
            <w:tcW w:w="2127" w:type="dxa"/>
            <w:tcBorders>
              <w:top w:val="single" w:sz="6" w:space="0" w:color="auto"/>
            </w:tcBorders>
            <w:vAlign w:val="center"/>
          </w:tcPr>
          <w:p w14:paraId="1CEC4988" w14:textId="2257A440" w:rsidR="004D0AB2" w:rsidRPr="00AC4541" w:rsidRDefault="00AC4541" w:rsidP="00795801">
            <w:pPr>
              <w:jc w:val="center"/>
              <w:rPr>
                <w:rFonts w:ascii="Ping LCG Regular" w:hAnsi="Ping LCG Regular" w:cs="Arial"/>
                <w:lang w:val="el-GR"/>
              </w:rPr>
            </w:pPr>
            <w:r>
              <w:rPr>
                <w:rFonts w:ascii="Ping LCG Regular" w:hAnsi="Ping LCG Regular" w:cs="Arial"/>
                <w:lang w:val="el-GR"/>
              </w:rPr>
              <w:t>4.775,8</w:t>
            </w:r>
          </w:p>
        </w:tc>
        <w:tc>
          <w:tcPr>
            <w:tcW w:w="1984" w:type="dxa"/>
            <w:tcBorders>
              <w:top w:val="single" w:sz="6" w:space="0" w:color="auto"/>
            </w:tcBorders>
            <w:vAlign w:val="center"/>
          </w:tcPr>
          <w:p w14:paraId="7D84058C" w14:textId="682591A8" w:rsidR="004D0AB2" w:rsidRPr="0081653C" w:rsidRDefault="004D0AB2" w:rsidP="00795801">
            <w:pPr>
              <w:jc w:val="center"/>
              <w:rPr>
                <w:rFonts w:ascii="Ping LCG Regular" w:hAnsi="Ping LCG Regular" w:cs="Arial"/>
              </w:rPr>
            </w:pPr>
            <w:r w:rsidRPr="0081653C">
              <w:rPr>
                <w:rFonts w:ascii="Ping LCG Regular" w:hAnsi="Ping LCG Regular" w:cs="Arial"/>
                <w:lang w:val="el-GR"/>
              </w:rPr>
              <w:t>4.153,7</w:t>
            </w:r>
          </w:p>
        </w:tc>
      </w:tr>
      <w:tr w:rsidR="004D0AB2" w:rsidRPr="0081653C" w14:paraId="1F8D54C7" w14:textId="1356D22A" w:rsidTr="004D0AB2">
        <w:trPr>
          <w:trHeight w:val="627"/>
          <w:jc w:val="center"/>
        </w:trPr>
        <w:tc>
          <w:tcPr>
            <w:tcW w:w="6390" w:type="dxa"/>
            <w:tcMar>
              <w:top w:w="0" w:type="dxa"/>
              <w:left w:w="108" w:type="dxa"/>
              <w:bottom w:w="0" w:type="dxa"/>
              <w:right w:w="108" w:type="dxa"/>
            </w:tcMar>
            <w:hideMark/>
          </w:tcPr>
          <w:p w14:paraId="3EE5EBDF" w14:textId="77777777" w:rsidR="004D0AB2" w:rsidRPr="0081653C" w:rsidRDefault="004D0AB2" w:rsidP="00795801">
            <w:pPr>
              <w:autoSpaceDE w:val="0"/>
              <w:autoSpaceDN w:val="0"/>
              <w:ind w:right="20"/>
              <w:rPr>
                <w:rFonts w:ascii="Ping LCG Regular" w:eastAsia="Calibri" w:hAnsi="Ping LCG Regular" w:cs="Arial"/>
                <w:spacing w:val="-14"/>
                <w:lang w:val="el-GR"/>
              </w:rPr>
            </w:pPr>
            <w:r w:rsidRPr="0081653C">
              <w:rPr>
                <w:rFonts w:ascii="Ping LCG Regular" w:hAnsi="Ping LCG Regular" w:cs="Arial"/>
                <w:spacing w:val="-14"/>
                <w:lang w:val="el-GR"/>
              </w:rPr>
              <w:t xml:space="preserve">Χρηματικά διαθέσιμα / Δεσμευμένες  Καταθέσεις </w:t>
            </w:r>
            <w:r w:rsidRPr="0081653C">
              <w:rPr>
                <w:rFonts w:ascii="Ping LCG Regular" w:hAnsi="Ping LCG Regular" w:cs="Arial"/>
                <w:spacing w:val="-14"/>
                <w:vertAlign w:val="superscript"/>
                <w:lang w:val="el-GR"/>
              </w:rPr>
              <w:t>(*)</w:t>
            </w:r>
            <w:r w:rsidRPr="0081653C">
              <w:rPr>
                <w:rFonts w:ascii="Ping LCG Regular" w:hAnsi="Ping LCG Regular" w:cs="Arial"/>
                <w:spacing w:val="-14"/>
                <w:lang w:val="el-GR"/>
              </w:rPr>
              <w:t xml:space="preserve"> / Λοιπά χρηματοοικονομικά περιουσιακά στοιχεία (2)</w:t>
            </w:r>
            <w:r w:rsidRPr="0081653C" w:rsidDel="00F201E8">
              <w:rPr>
                <w:rFonts w:ascii="Ping LCG Regular" w:hAnsi="Ping LCG Regular" w:cs="Arial"/>
                <w:spacing w:val="-14"/>
                <w:lang w:val="el-GR"/>
              </w:rPr>
              <w:t xml:space="preserve"> </w:t>
            </w:r>
          </w:p>
        </w:tc>
        <w:tc>
          <w:tcPr>
            <w:tcW w:w="2127" w:type="dxa"/>
            <w:vAlign w:val="center"/>
          </w:tcPr>
          <w:p w14:paraId="1596B1DE" w14:textId="55E002F4" w:rsidR="004D0AB2" w:rsidRPr="004D0AB2" w:rsidRDefault="00AC4541" w:rsidP="00795801">
            <w:pPr>
              <w:jc w:val="center"/>
              <w:rPr>
                <w:rFonts w:ascii="Ping LCG Regular" w:hAnsi="Ping LCG Regular" w:cs="Arial"/>
                <w:lang w:val="el-GR"/>
              </w:rPr>
            </w:pPr>
            <w:r>
              <w:rPr>
                <w:rFonts w:ascii="Ping LCG Regular" w:hAnsi="Ping LCG Regular" w:cs="Arial"/>
                <w:lang w:val="el-GR"/>
              </w:rPr>
              <w:t>2.886,0</w:t>
            </w:r>
          </w:p>
        </w:tc>
        <w:tc>
          <w:tcPr>
            <w:tcW w:w="1984" w:type="dxa"/>
            <w:vAlign w:val="center"/>
          </w:tcPr>
          <w:p w14:paraId="0F287E98" w14:textId="311937D7" w:rsidR="004D0AB2" w:rsidRPr="0081653C" w:rsidRDefault="004D0AB2" w:rsidP="00795801">
            <w:pPr>
              <w:jc w:val="center"/>
              <w:rPr>
                <w:rFonts w:ascii="Ping LCG Regular" w:hAnsi="Ping LCG Regular" w:cs="Arial"/>
              </w:rPr>
            </w:pPr>
            <w:r w:rsidRPr="0081653C">
              <w:rPr>
                <w:rFonts w:ascii="Ping LCG Regular" w:hAnsi="Ping LCG Regular" w:cs="Arial"/>
                <w:lang w:val="el-GR"/>
              </w:rPr>
              <w:t>870,1</w:t>
            </w:r>
          </w:p>
        </w:tc>
      </w:tr>
      <w:tr w:rsidR="004D0AB2" w:rsidRPr="00B26EE8" w14:paraId="44AD9CCB" w14:textId="3CE638B5" w:rsidTr="004D0AB2">
        <w:trPr>
          <w:trHeight w:val="304"/>
          <w:jc w:val="center"/>
        </w:trPr>
        <w:tc>
          <w:tcPr>
            <w:tcW w:w="6390" w:type="dxa"/>
            <w:tcMar>
              <w:top w:w="0" w:type="dxa"/>
              <w:left w:w="108" w:type="dxa"/>
              <w:bottom w:w="0" w:type="dxa"/>
              <w:right w:w="108" w:type="dxa"/>
            </w:tcMar>
            <w:hideMark/>
          </w:tcPr>
          <w:p w14:paraId="0BFA1BAE" w14:textId="77777777" w:rsidR="004D0AB2" w:rsidRPr="0081653C" w:rsidRDefault="004D0AB2" w:rsidP="00795801">
            <w:pPr>
              <w:autoSpaceDE w:val="0"/>
              <w:autoSpaceDN w:val="0"/>
              <w:ind w:right="20"/>
              <w:jc w:val="both"/>
              <w:rPr>
                <w:rFonts w:ascii="Ping LCG Regular" w:eastAsia="Calibri" w:hAnsi="Ping LCG Regular" w:cs="Arial"/>
                <w:b/>
                <w:bCs/>
                <w:spacing w:val="-14"/>
              </w:rPr>
            </w:pPr>
            <w:r w:rsidRPr="0081653C">
              <w:rPr>
                <w:rFonts w:ascii="Ping LCG Regular" w:hAnsi="Ping LCG Regular" w:cs="Arial"/>
                <w:spacing w:val="-14"/>
              </w:rPr>
              <w:t>Καθα</w:t>
            </w:r>
            <w:proofErr w:type="spellStart"/>
            <w:r w:rsidRPr="0081653C">
              <w:rPr>
                <w:rFonts w:ascii="Ping LCG Regular" w:hAnsi="Ping LCG Regular" w:cs="Arial"/>
                <w:spacing w:val="-14"/>
              </w:rPr>
              <w:t>ρό</w:t>
            </w:r>
            <w:proofErr w:type="spellEnd"/>
            <w:r w:rsidRPr="0081653C">
              <w:rPr>
                <w:rFonts w:ascii="Ping LCG Regular" w:hAnsi="Ping LCG Regular" w:cs="Arial"/>
                <w:spacing w:val="-14"/>
              </w:rPr>
              <w:t xml:space="preserve"> </w:t>
            </w:r>
            <w:proofErr w:type="spellStart"/>
            <w:r w:rsidRPr="0081653C">
              <w:rPr>
                <w:rFonts w:ascii="Ping LCG Regular" w:hAnsi="Ping LCG Regular" w:cs="Arial"/>
                <w:spacing w:val="-14"/>
              </w:rPr>
              <w:t>Χρέος</w:t>
            </w:r>
            <w:proofErr w:type="spellEnd"/>
            <w:r w:rsidRPr="0081653C">
              <w:rPr>
                <w:rFonts w:ascii="Ping LCG Regular" w:hAnsi="Ping LCG Regular" w:cs="Arial"/>
                <w:spacing w:val="-14"/>
              </w:rPr>
              <w:t xml:space="preserve"> (3) = (1) - (2)</w:t>
            </w:r>
          </w:p>
        </w:tc>
        <w:tc>
          <w:tcPr>
            <w:tcW w:w="2127" w:type="dxa"/>
            <w:vAlign w:val="center"/>
          </w:tcPr>
          <w:p w14:paraId="15049D55" w14:textId="452D4D96" w:rsidR="004D0AB2" w:rsidRPr="003E5B66" w:rsidRDefault="004D0AB2" w:rsidP="00795801">
            <w:pPr>
              <w:jc w:val="center"/>
              <w:rPr>
                <w:rFonts w:ascii="Ping LCG Regular" w:hAnsi="Ping LCG Regular" w:cs="Arial"/>
              </w:rPr>
            </w:pPr>
            <w:r>
              <w:rPr>
                <w:rFonts w:ascii="Ping LCG Regular" w:hAnsi="Ping LCG Regular" w:cs="Arial"/>
                <w:lang w:val="el-GR"/>
              </w:rPr>
              <w:t>1</w:t>
            </w:r>
            <w:r w:rsidRPr="0081653C">
              <w:rPr>
                <w:rFonts w:ascii="Ping LCG Regular" w:hAnsi="Ping LCG Regular" w:cs="Arial"/>
              </w:rPr>
              <w:t>.</w:t>
            </w:r>
            <w:r w:rsidR="00AC4541">
              <w:rPr>
                <w:rFonts w:ascii="Ping LCG Regular" w:hAnsi="Ping LCG Regular" w:cs="Arial"/>
                <w:lang w:val="el-GR"/>
              </w:rPr>
              <w:t>889</w:t>
            </w:r>
            <w:r w:rsidRPr="0081653C">
              <w:rPr>
                <w:rFonts w:ascii="Ping LCG Regular" w:hAnsi="Ping LCG Regular" w:cs="Arial"/>
                <w:lang w:val="el-GR"/>
              </w:rPr>
              <w:t>,</w:t>
            </w:r>
            <w:r w:rsidR="00AC4541">
              <w:rPr>
                <w:rFonts w:ascii="Ping LCG Regular" w:hAnsi="Ping LCG Regular" w:cs="Arial"/>
                <w:lang w:val="el-GR"/>
              </w:rPr>
              <w:t>8</w:t>
            </w:r>
          </w:p>
        </w:tc>
        <w:tc>
          <w:tcPr>
            <w:tcW w:w="1984" w:type="dxa"/>
            <w:vAlign w:val="center"/>
          </w:tcPr>
          <w:p w14:paraId="474F34E9" w14:textId="0843291F" w:rsidR="004D0AB2" w:rsidRPr="0081653C" w:rsidRDefault="004D0AB2" w:rsidP="00795801">
            <w:pPr>
              <w:jc w:val="center"/>
              <w:rPr>
                <w:rFonts w:ascii="Ping LCG Regular" w:hAnsi="Ping LCG Regular" w:cs="Arial"/>
              </w:rPr>
            </w:pPr>
            <w:r w:rsidRPr="0081653C">
              <w:rPr>
                <w:rFonts w:ascii="Ping LCG Regular" w:hAnsi="Ping LCG Regular" w:cs="Arial"/>
              </w:rPr>
              <w:t>3.</w:t>
            </w:r>
            <w:r w:rsidRPr="0081653C">
              <w:rPr>
                <w:rFonts w:ascii="Ping LCG Regular" w:hAnsi="Ping LCG Regular" w:cs="Arial"/>
                <w:lang w:val="el-GR"/>
              </w:rPr>
              <w:t>283,6</w:t>
            </w:r>
          </w:p>
        </w:tc>
      </w:tr>
    </w:tbl>
    <w:p w14:paraId="0FB11F5C" w14:textId="6578CD5A" w:rsidR="008F083F" w:rsidRDefault="00A249A6" w:rsidP="008F083F">
      <w:pPr>
        <w:widowControl w:val="0"/>
        <w:autoSpaceDE w:val="0"/>
        <w:autoSpaceDN w:val="0"/>
        <w:adjustRightInd w:val="0"/>
        <w:ind w:left="284" w:right="18" w:hanging="284"/>
        <w:jc w:val="both"/>
        <w:rPr>
          <w:rFonts w:ascii="Ping LCG Regular" w:hAnsi="Ping LCG Regular" w:cs="Arial"/>
          <w:iCs/>
          <w:spacing w:val="-14"/>
          <w:sz w:val="22"/>
          <w:lang w:val="el-GR"/>
        </w:rPr>
      </w:pPr>
      <w:r w:rsidRPr="0081653C">
        <w:rPr>
          <w:rFonts w:ascii="Ping LCG Regular" w:hAnsi="Ping LCG Regular" w:cs="Arial"/>
          <w:iCs/>
          <w:spacing w:val="-14"/>
          <w:sz w:val="22"/>
          <w:vertAlign w:val="superscript"/>
          <w:lang w:val="el-GR"/>
        </w:rPr>
        <w:t>(*)</w:t>
      </w:r>
      <w:r w:rsidRPr="0081653C">
        <w:rPr>
          <w:rFonts w:ascii="Ping LCG Regular" w:hAnsi="Ping LCG Regular" w:cs="Arial"/>
          <w:iCs/>
          <w:spacing w:val="-14"/>
          <w:sz w:val="22"/>
          <w:lang w:val="el-GR"/>
        </w:rPr>
        <w:t xml:space="preserve"> </w:t>
      </w:r>
      <w:r w:rsidR="00E3203D" w:rsidRPr="0081653C">
        <w:rPr>
          <w:rFonts w:ascii="Ping LCG Regular" w:hAnsi="Ping LCG Regular" w:cs="Arial"/>
          <w:iCs/>
          <w:spacing w:val="-14"/>
          <w:sz w:val="22"/>
          <w:lang w:val="el-GR"/>
        </w:rPr>
        <w:t xml:space="preserve"> </w:t>
      </w:r>
      <w:r w:rsidRPr="0081653C">
        <w:rPr>
          <w:rFonts w:ascii="Ping LCG Regular" w:hAnsi="Ping LCG Regular" w:cs="Arial"/>
          <w:iCs/>
          <w:spacing w:val="-14"/>
          <w:sz w:val="22"/>
          <w:lang w:val="el-GR"/>
        </w:rPr>
        <w:t>Στον υπολογισμό του καθαρού χρέους, αφαιρούνται οι δεσμευμένες καταθέσεις που σχετίζονται με τον δανεισμ</w:t>
      </w:r>
      <w:r w:rsidR="00DE2E36" w:rsidRPr="0081653C">
        <w:rPr>
          <w:rFonts w:ascii="Ping LCG Regular" w:hAnsi="Ping LCG Regular" w:cs="Arial"/>
          <w:iCs/>
          <w:spacing w:val="-14"/>
          <w:sz w:val="22"/>
          <w:lang w:val="el-GR"/>
        </w:rPr>
        <w:t>ό.</w:t>
      </w:r>
      <w:bookmarkEnd w:id="14"/>
      <w:bookmarkEnd w:id="18"/>
    </w:p>
    <w:bookmarkEnd w:id="19"/>
    <w:p w14:paraId="3CA32140" w14:textId="593F6F36" w:rsidR="00FC2CF5" w:rsidRDefault="00FC2CF5" w:rsidP="008F083F">
      <w:pPr>
        <w:widowControl w:val="0"/>
        <w:autoSpaceDE w:val="0"/>
        <w:autoSpaceDN w:val="0"/>
        <w:adjustRightInd w:val="0"/>
        <w:ind w:left="284" w:right="18" w:hanging="284"/>
        <w:jc w:val="both"/>
        <w:rPr>
          <w:rFonts w:ascii="Ping LCG Regular" w:hAnsi="Ping LCG Regular" w:cs="Arial"/>
          <w:iCs/>
          <w:spacing w:val="-14"/>
          <w:sz w:val="22"/>
          <w:lang w:val="el-GR"/>
        </w:rPr>
      </w:pPr>
    </w:p>
    <w:p w14:paraId="2D579D3B" w14:textId="6DDD8AE5" w:rsidR="001813DB" w:rsidRPr="00E14B07" w:rsidRDefault="00B34321">
      <w:pPr>
        <w:spacing w:line="276" w:lineRule="auto"/>
        <w:rPr>
          <w:rFonts w:ascii="Ping LCG Regular" w:hAnsi="Ping LCG Regular" w:cs="Arial"/>
          <w:b/>
          <w:bCs/>
          <w:color w:val="000000"/>
          <w:highlight w:val="lightGray"/>
          <w:lang w:val="el-GR"/>
        </w:rPr>
      </w:pPr>
      <w:r>
        <w:rPr>
          <w:rFonts w:ascii="Ping LCG Regular" w:hAnsi="Ping LCG Regular" w:cs="Arial"/>
          <w:b/>
          <w:bCs/>
          <w:color w:val="000000"/>
          <w:lang w:val="el-GR"/>
        </w:rPr>
        <w:br w:type="page"/>
      </w:r>
      <w:r w:rsidR="00B35CD7">
        <w:rPr>
          <w:rFonts w:ascii="Ping LCG Regular" w:hAnsi="Ping LCG Regular" w:cs="Arial"/>
          <w:b/>
          <w:bCs/>
          <w:color w:val="000000"/>
          <w:lang w:val="el-GR"/>
        </w:rPr>
        <w:lastRenderedPageBreak/>
        <w:t>Πρόσφατες εξελίξεις</w:t>
      </w:r>
    </w:p>
    <w:p w14:paraId="6D09C7A9" w14:textId="77777777" w:rsidR="00E445B1" w:rsidRPr="00E14B07" w:rsidRDefault="00E445B1" w:rsidP="00E445B1">
      <w:pPr>
        <w:rPr>
          <w:rFonts w:ascii="Ping LCG Regular" w:hAnsi="Ping LCG Regular" w:cs="Arial"/>
          <w:b/>
          <w:bCs/>
          <w:color w:val="000000"/>
          <w:highlight w:val="lightGray"/>
          <w:lang w:val="el-GR"/>
        </w:rPr>
      </w:pPr>
    </w:p>
    <w:p w14:paraId="5C66532F" w14:textId="492AD21A" w:rsidR="00E445B1" w:rsidRDefault="00E445B1" w:rsidP="00E445B1">
      <w:pPr>
        <w:rPr>
          <w:rFonts w:ascii="Ping LCG Regular" w:hAnsi="Ping LCG Regular" w:cs="Arial"/>
          <w:color w:val="000000"/>
          <w:u w:val="single"/>
          <w:lang w:val="el-GR"/>
        </w:rPr>
      </w:pPr>
      <w:r w:rsidRPr="00E14B07">
        <w:rPr>
          <w:rFonts w:ascii="Ping LCG Regular" w:hAnsi="Ping LCG Regular" w:cs="Arial"/>
          <w:color w:val="000000"/>
          <w:u w:val="single"/>
          <w:lang w:val="el-GR"/>
        </w:rPr>
        <w:t>Μνημόνιο Συνεργασίας ΜΟΤΟΡ ΟΙΛ (ΕΛΛΑΣ) και ΔΕΗ Α.Ε.</w:t>
      </w:r>
    </w:p>
    <w:p w14:paraId="0ACB0A1D" w14:textId="77777777" w:rsidR="0008698B" w:rsidRPr="00E14B07" w:rsidRDefault="0008698B" w:rsidP="00E445B1">
      <w:pPr>
        <w:rPr>
          <w:rFonts w:ascii="Ping LCG Regular" w:hAnsi="Ping LCG Regular" w:cs="Arial"/>
          <w:color w:val="000000"/>
          <w:u w:val="single"/>
          <w:lang w:val="el-GR"/>
        </w:rPr>
      </w:pPr>
    </w:p>
    <w:p w14:paraId="6B69AFF6" w14:textId="77777777" w:rsidR="00E445B1" w:rsidRPr="00E14B07" w:rsidRDefault="00E445B1" w:rsidP="00E14B07">
      <w:pPr>
        <w:jc w:val="both"/>
        <w:rPr>
          <w:rFonts w:ascii="Ping LCG Regular" w:hAnsi="Ping LCG Regular" w:cs="Arial"/>
          <w:spacing w:val="-14"/>
          <w:lang w:val="el-GR"/>
        </w:rPr>
      </w:pPr>
      <w:r w:rsidRPr="00E14B07">
        <w:rPr>
          <w:rFonts w:ascii="Ping LCG Regular" w:hAnsi="Ping LCG Regular" w:cs="Arial"/>
          <w:spacing w:val="-14"/>
          <w:lang w:val="el-GR"/>
        </w:rPr>
        <w:t xml:space="preserve">Τον Ιανουάριο 2022 η ΜΟΤΟΡ ΟΙΛ (ΕΛΛΑΣ) Α.Ε. και η ΔΕΗ Α.Ε. υπέγραψαν μνημόνιο </w:t>
      </w:r>
      <w:proofErr w:type="spellStart"/>
      <w:r w:rsidRPr="00E14B07">
        <w:rPr>
          <w:rFonts w:ascii="Ping LCG Regular" w:hAnsi="Ping LCG Regular" w:cs="Arial"/>
          <w:spacing w:val="-14"/>
          <w:lang w:val="el-GR"/>
        </w:rPr>
        <w:t>Συναντίληψης</w:t>
      </w:r>
      <w:proofErr w:type="spellEnd"/>
      <w:r w:rsidRPr="00E14B07">
        <w:rPr>
          <w:rFonts w:ascii="Ping LCG Regular" w:hAnsi="Ping LCG Regular" w:cs="Arial"/>
          <w:spacing w:val="-14"/>
          <w:lang w:val="el-GR"/>
        </w:rPr>
        <w:t xml:space="preserve"> (</w:t>
      </w:r>
      <w:proofErr w:type="spellStart"/>
      <w:r w:rsidRPr="00E14B07">
        <w:rPr>
          <w:rFonts w:ascii="Ping LCG Regular" w:hAnsi="Ping LCG Regular" w:cs="Arial"/>
          <w:spacing w:val="-14"/>
          <w:lang w:val="el-GR"/>
        </w:rPr>
        <w:t>Memorandum</w:t>
      </w:r>
      <w:proofErr w:type="spellEnd"/>
      <w:r w:rsidRPr="00E14B07">
        <w:rPr>
          <w:rFonts w:ascii="Ping LCG Regular" w:hAnsi="Ping LCG Regular" w:cs="Arial"/>
          <w:spacing w:val="-14"/>
          <w:lang w:val="el-GR"/>
        </w:rPr>
        <w:t xml:space="preserve"> of </w:t>
      </w:r>
      <w:proofErr w:type="spellStart"/>
      <w:r w:rsidRPr="00E14B07">
        <w:rPr>
          <w:rFonts w:ascii="Ping LCG Regular" w:hAnsi="Ping LCG Regular" w:cs="Arial"/>
          <w:spacing w:val="-14"/>
          <w:lang w:val="el-GR"/>
        </w:rPr>
        <w:t>Understanding</w:t>
      </w:r>
      <w:proofErr w:type="spellEnd"/>
      <w:r w:rsidRPr="00E14B07">
        <w:rPr>
          <w:rFonts w:ascii="Ping LCG Regular" w:hAnsi="Ping LCG Regular" w:cs="Arial"/>
          <w:spacing w:val="-14"/>
          <w:lang w:val="el-GR"/>
        </w:rPr>
        <w:t xml:space="preserve">-MOU) για τη διαμόρφωση του πλαισίου και την υλοποίηση μέσω κοινοπρακτικού σχήματος (Joint </w:t>
      </w:r>
      <w:proofErr w:type="spellStart"/>
      <w:r w:rsidRPr="00E14B07">
        <w:rPr>
          <w:rFonts w:ascii="Ping LCG Regular" w:hAnsi="Ping LCG Regular" w:cs="Arial"/>
          <w:spacing w:val="-14"/>
          <w:lang w:val="el-GR"/>
        </w:rPr>
        <w:t>Venture</w:t>
      </w:r>
      <w:proofErr w:type="spellEnd"/>
      <w:r w:rsidRPr="00E14B07">
        <w:rPr>
          <w:rFonts w:ascii="Ping LCG Regular" w:hAnsi="Ping LCG Regular" w:cs="Arial"/>
          <w:spacing w:val="-14"/>
          <w:lang w:val="el-GR"/>
        </w:rPr>
        <w:t>) έργων στον Τομέα Πράσινου Υδρογόνου. Η συμμετοχή της ΜΟΤΟΡ ΟΙΛ στο κοινό μετοχικό σχήμα θα ανέλθει σε 51% και της ΔΕΗ σε 49%.</w:t>
      </w:r>
    </w:p>
    <w:p w14:paraId="5090549F" w14:textId="77777777" w:rsidR="00E445B1" w:rsidRPr="00E14B07" w:rsidRDefault="00E445B1" w:rsidP="00E14B07">
      <w:pPr>
        <w:jc w:val="both"/>
        <w:rPr>
          <w:rFonts w:ascii="Ping LCG Regular" w:hAnsi="Ping LCG Regular" w:cs="Arial"/>
          <w:spacing w:val="-14"/>
          <w:lang w:val="el-GR"/>
        </w:rPr>
      </w:pPr>
      <w:r w:rsidRPr="00E14B07">
        <w:rPr>
          <w:rFonts w:ascii="Ping LCG Regular" w:hAnsi="Ping LCG Regular" w:cs="Arial"/>
          <w:spacing w:val="-14"/>
          <w:lang w:val="el-GR"/>
        </w:rPr>
        <w:t>Η Κοινοπραξία πιστεύει ότι μπορεί να ηγηθεί της ανάπτυξης της οικονομίας του Υδρογόνου στην Ελλάδα, έχοντας πρόσβαση στην αναπτυσσόμενη πλατφόρμα παραγωγής ενέργειας από ανανεώσιμες πηγές της ΔΕΗ Α.Ε., εκμεταλλευόμενη ταυτόχρονα τη δυναμικότητα και τεχνογνωσία της ΜΟΤΟΡ ΟΙΛ (ΕΛΛΑΣ) Α.Ε. ως μιας εκ των μεγαλύτερων ενεργειακών ομίλων στη χώρα.</w:t>
      </w:r>
    </w:p>
    <w:p w14:paraId="4C0B3319" w14:textId="77777777" w:rsidR="00E445B1" w:rsidRPr="00E14B07" w:rsidRDefault="00E445B1" w:rsidP="00E14B07">
      <w:pPr>
        <w:jc w:val="both"/>
        <w:rPr>
          <w:rFonts w:ascii="Ping LCG Regular" w:hAnsi="Ping LCG Regular" w:cs="Arial"/>
          <w:spacing w:val="-14"/>
          <w:lang w:val="el-GR"/>
        </w:rPr>
      </w:pPr>
      <w:r w:rsidRPr="00E14B07">
        <w:rPr>
          <w:rFonts w:ascii="Ping LCG Regular" w:hAnsi="Ping LCG Regular" w:cs="Arial"/>
          <w:spacing w:val="-14"/>
          <w:lang w:val="el-GR"/>
        </w:rPr>
        <w:t>Η σκοπούμενη Κοινοπραξία έχει στόχο την ανάπτυξη έργων παραγωγής αποθήκευσης πράσινου Υδρογόνου στην Ελλάδα, διευκολύνοντας έτσι την ενεργειακή μετάβαση της Ελλάδας σε ένα περιβάλλον καθαρών μηδενικών εκπομπών άνθρακα (</w:t>
      </w:r>
      <w:proofErr w:type="spellStart"/>
      <w:r w:rsidRPr="00E14B07">
        <w:rPr>
          <w:rFonts w:ascii="Ping LCG Regular" w:hAnsi="Ping LCG Regular" w:cs="Arial"/>
          <w:spacing w:val="-14"/>
          <w:lang w:val="el-GR"/>
        </w:rPr>
        <w:t>Net</w:t>
      </w:r>
      <w:proofErr w:type="spellEnd"/>
      <w:r w:rsidRPr="00E14B07">
        <w:rPr>
          <w:rFonts w:ascii="Ping LCG Regular" w:hAnsi="Ping LCG Regular" w:cs="Arial"/>
          <w:spacing w:val="-14"/>
          <w:lang w:val="el-GR"/>
        </w:rPr>
        <w:t xml:space="preserve"> </w:t>
      </w:r>
      <w:proofErr w:type="spellStart"/>
      <w:r w:rsidRPr="00E14B07">
        <w:rPr>
          <w:rFonts w:ascii="Ping LCG Regular" w:hAnsi="Ping LCG Regular" w:cs="Arial"/>
          <w:spacing w:val="-14"/>
          <w:lang w:val="el-GR"/>
        </w:rPr>
        <w:t>Zero</w:t>
      </w:r>
      <w:proofErr w:type="spellEnd"/>
      <w:r w:rsidRPr="00E14B07">
        <w:rPr>
          <w:rFonts w:ascii="Ping LCG Regular" w:hAnsi="Ping LCG Regular" w:cs="Arial"/>
          <w:spacing w:val="-14"/>
          <w:lang w:val="el-GR"/>
        </w:rPr>
        <w:t xml:space="preserve">).  </w:t>
      </w:r>
    </w:p>
    <w:p w14:paraId="3CB94703" w14:textId="77777777" w:rsidR="00AD5D5D" w:rsidRPr="004761D1" w:rsidRDefault="00E445B1" w:rsidP="00E445B1">
      <w:pPr>
        <w:rPr>
          <w:rFonts w:ascii="Ping LCG Regular" w:hAnsi="Ping LCG Regular" w:cs="Arial"/>
          <w:b/>
          <w:bCs/>
          <w:color w:val="000000"/>
          <w:lang w:val="el-GR"/>
        </w:rPr>
      </w:pPr>
      <w:r w:rsidRPr="004761D1">
        <w:rPr>
          <w:rFonts w:ascii="Ping LCG Regular" w:hAnsi="Ping LCG Regular" w:cs="Arial"/>
          <w:b/>
          <w:bCs/>
          <w:color w:val="000000"/>
          <w:lang w:val="el-GR"/>
        </w:rPr>
        <w:t> </w:t>
      </w:r>
    </w:p>
    <w:p w14:paraId="1C5E32EE" w14:textId="2A4FA5C5" w:rsidR="00AD5D5D" w:rsidRDefault="00AD5D5D" w:rsidP="00E14B07">
      <w:pPr>
        <w:jc w:val="both"/>
        <w:rPr>
          <w:rFonts w:ascii="Ping LCG Regular" w:hAnsi="Ping LCG Regular" w:cs="Arial"/>
          <w:color w:val="000000"/>
          <w:u w:val="single"/>
          <w:lang w:val="el-GR"/>
        </w:rPr>
      </w:pPr>
      <w:r w:rsidRPr="00E14B07">
        <w:rPr>
          <w:rFonts w:ascii="Ping LCG Regular" w:hAnsi="Ping LCG Regular" w:cs="Arial"/>
          <w:color w:val="000000"/>
          <w:u w:val="single"/>
          <w:lang w:val="el-GR"/>
        </w:rPr>
        <w:t>Μνημ</w:t>
      </w:r>
      <w:r w:rsidR="009604E6">
        <w:rPr>
          <w:rFonts w:ascii="Ping LCG Regular" w:hAnsi="Ping LCG Regular" w:cs="Arial"/>
          <w:color w:val="000000"/>
          <w:u w:val="single"/>
          <w:lang w:val="el-GR"/>
        </w:rPr>
        <w:t>όνιο</w:t>
      </w:r>
      <w:r w:rsidRPr="00E14B07">
        <w:rPr>
          <w:rFonts w:ascii="Ping LCG Regular" w:hAnsi="Ping LCG Regular" w:cs="Arial"/>
          <w:color w:val="000000"/>
          <w:u w:val="single"/>
          <w:lang w:val="el-GR"/>
        </w:rPr>
        <w:t xml:space="preserve"> Συνεργασίας για την χρηματοδότηση ανάπτυξης δικτύου οπτικών ινών </w:t>
      </w:r>
      <w:proofErr w:type="spellStart"/>
      <w:r w:rsidRPr="00E14B07">
        <w:rPr>
          <w:rFonts w:ascii="Ping LCG Regular" w:hAnsi="Ping LCG Regular" w:cs="Arial"/>
          <w:color w:val="000000"/>
          <w:u w:val="single"/>
          <w:lang w:val="el-GR"/>
        </w:rPr>
        <w:t>ευρυζωνικής</w:t>
      </w:r>
      <w:proofErr w:type="spellEnd"/>
      <w:r w:rsidRPr="00E14B07">
        <w:rPr>
          <w:rFonts w:ascii="Ping LCG Regular" w:hAnsi="Ping LCG Regular" w:cs="Arial"/>
          <w:color w:val="000000"/>
          <w:u w:val="single"/>
          <w:lang w:val="el-GR"/>
        </w:rPr>
        <w:t xml:space="preserve"> πρόσβασης (FTTH)</w:t>
      </w:r>
    </w:p>
    <w:p w14:paraId="4C9748FD" w14:textId="77777777" w:rsidR="0008698B" w:rsidRPr="00E14B07" w:rsidRDefault="0008698B" w:rsidP="00E14B07">
      <w:pPr>
        <w:jc w:val="both"/>
        <w:rPr>
          <w:rFonts w:ascii="Ping LCG Regular" w:hAnsi="Ping LCG Regular" w:cs="Arial"/>
          <w:color w:val="000000"/>
          <w:u w:val="single"/>
          <w:lang w:val="el-GR"/>
        </w:rPr>
      </w:pPr>
    </w:p>
    <w:p w14:paraId="4BE6B3A4" w14:textId="50361BE8" w:rsidR="00AD5D5D" w:rsidRPr="00445582" w:rsidRDefault="00187B5D" w:rsidP="00E14B07">
      <w:pPr>
        <w:jc w:val="both"/>
        <w:rPr>
          <w:rFonts w:ascii="Ping LCG Regular" w:hAnsi="Ping LCG Regular" w:cs="Arial"/>
          <w:spacing w:val="-14"/>
          <w:lang w:val="el-GR"/>
        </w:rPr>
      </w:pPr>
      <w:r w:rsidRPr="00445582">
        <w:rPr>
          <w:rFonts w:ascii="Ping LCG Regular" w:hAnsi="Ping LCG Regular" w:cs="Arial"/>
          <w:spacing w:val="-14"/>
          <w:lang w:val="el-GR"/>
        </w:rPr>
        <w:t xml:space="preserve">Τον Ιανουάριο 2022, η ΔΕΗ Α.Ε. υπέγραψε </w:t>
      </w:r>
      <w:r w:rsidR="00AD5D5D" w:rsidRPr="00445582">
        <w:rPr>
          <w:rFonts w:ascii="Ping LCG Regular" w:hAnsi="Ping LCG Regular" w:cs="Arial"/>
          <w:spacing w:val="-14"/>
          <w:lang w:val="el-GR"/>
        </w:rPr>
        <w:t xml:space="preserve"> Μνημ</w:t>
      </w:r>
      <w:r w:rsidRPr="00445582">
        <w:rPr>
          <w:rFonts w:ascii="Ping LCG Regular" w:hAnsi="Ping LCG Regular" w:cs="Arial"/>
          <w:spacing w:val="-14"/>
          <w:lang w:val="el-GR"/>
        </w:rPr>
        <w:t xml:space="preserve">όνιο </w:t>
      </w:r>
      <w:r w:rsidR="00AD5D5D" w:rsidRPr="00445582">
        <w:rPr>
          <w:rFonts w:ascii="Ping LCG Regular" w:hAnsi="Ping LCG Regular" w:cs="Arial"/>
          <w:spacing w:val="-14"/>
          <w:lang w:val="el-GR"/>
        </w:rPr>
        <w:t>Συνεργασίας (</w:t>
      </w:r>
      <w:proofErr w:type="spellStart"/>
      <w:r w:rsidR="00AD5D5D" w:rsidRPr="00445582">
        <w:rPr>
          <w:rFonts w:ascii="Ping LCG Regular" w:hAnsi="Ping LCG Regular" w:cs="Arial"/>
          <w:spacing w:val="-14"/>
          <w:lang w:val="el-GR"/>
        </w:rPr>
        <w:t>MoU</w:t>
      </w:r>
      <w:proofErr w:type="spellEnd"/>
      <w:r w:rsidR="00AD5D5D" w:rsidRPr="00445582">
        <w:rPr>
          <w:rFonts w:ascii="Ping LCG Regular" w:hAnsi="Ping LCG Regular" w:cs="Arial"/>
          <w:spacing w:val="-14"/>
          <w:lang w:val="el-GR"/>
        </w:rPr>
        <w:t xml:space="preserve">) με τις τράπεζες «ALPHA BANK Α.Ε.» και «ΤΡΑΠΕΖΑ ΠΕΙΡΑΙΩΣ Α.Ε.», για την κάλυψη αναγκών χρηματοδότησης για την κατασκευή και λειτουργία δικτύου οπτικών ινών </w:t>
      </w:r>
      <w:proofErr w:type="spellStart"/>
      <w:r w:rsidR="00AD5D5D" w:rsidRPr="00445582">
        <w:rPr>
          <w:rFonts w:ascii="Ping LCG Regular" w:hAnsi="Ping LCG Regular" w:cs="Arial"/>
          <w:spacing w:val="-14"/>
          <w:lang w:val="el-GR"/>
        </w:rPr>
        <w:t>ευρυζωνικής</w:t>
      </w:r>
      <w:proofErr w:type="spellEnd"/>
      <w:r w:rsidR="00AD5D5D" w:rsidRPr="00445582">
        <w:rPr>
          <w:rFonts w:ascii="Ping LCG Regular" w:hAnsi="Ping LCG Regular" w:cs="Arial"/>
          <w:spacing w:val="-14"/>
          <w:lang w:val="el-GR"/>
        </w:rPr>
        <w:t xml:space="preserve"> πρόσβασης (</w:t>
      </w:r>
      <w:proofErr w:type="spellStart"/>
      <w:r w:rsidR="00AD5D5D" w:rsidRPr="00445582">
        <w:rPr>
          <w:rFonts w:ascii="Ping LCG Regular" w:hAnsi="Ping LCG Regular" w:cs="Arial"/>
          <w:spacing w:val="-14"/>
          <w:lang w:val="el-GR"/>
        </w:rPr>
        <w:t>Fiber</w:t>
      </w:r>
      <w:proofErr w:type="spellEnd"/>
      <w:r w:rsidR="00AD5D5D" w:rsidRPr="00445582">
        <w:rPr>
          <w:rFonts w:ascii="Ping LCG Regular" w:hAnsi="Ping LCG Regular" w:cs="Arial"/>
          <w:spacing w:val="-14"/>
          <w:lang w:val="el-GR"/>
        </w:rPr>
        <w:t xml:space="preserve"> </w:t>
      </w:r>
      <w:proofErr w:type="spellStart"/>
      <w:r w:rsidR="00AD5D5D" w:rsidRPr="00445582">
        <w:rPr>
          <w:rFonts w:ascii="Ping LCG Regular" w:hAnsi="Ping LCG Regular" w:cs="Arial"/>
          <w:spacing w:val="-14"/>
          <w:lang w:val="el-GR"/>
        </w:rPr>
        <w:t>To</w:t>
      </w:r>
      <w:proofErr w:type="spellEnd"/>
      <w:r w:rsidR="00AD5D5D" w:rsidRPr="00445582">
        <w:rPr>
          <w:rFonts w:ascii="Ping LCG Regular" w:hAnsi="Ping LCG Regular" w:cs="Arial"/>
          <w:spacing w:val="-14"/>
          <w:lang w:val="el-GR"/>
        </w:rPr>
        <w:t xml:space="preserve"> The </w:t>
      </w:r>
      <w:proofErr w:type="spellStart"/>
      <w:r w:rsidR="00AD5D5D" w:rsidRPr="00445582">
        <w:rPr>
          <w:rFonts w:ascii="Ping LCG Regular" w:hAnsi="Ping LCG Regular" w:cs="Arial"/>
          <w:spacing w:val="-14"/>
          <w:lang w:val="el-GR"/>
        </w:rPr>
        <w:t>Home</w:t>
      </w:r>
      <w:proofErr w:type="spellEnd"/>
      <w:r w:rsidR="00AD5D5D" w:rsidRPr="00445582">
        <w:rPr>
          <w:rFonts w:ascii="Ping LCG Regular" w:hAnsi="Ping LCG Regular" w:cs="Arial"/>
          <w:spacing w:val="-14"/>
          <w:lang w:val="el-GR"/>
        </w:rPr>
        <w:t>-FTTH) σε επιλεγμένες περιοχές της Ελλάδας.</w:t>
      </w:r>
    </w:p>
    <w:p w14:paraId="6C867FA7" w14:textId="77777777" w:rsidR="00AD5D5D" w:rsidRPr="00445582" w:rsidRDefault="00AD5D5D" w:rsidP="00E14B07">
      <w:pPr>
        <w:jc w:val="both"/>
        <w:rPr>
          <w:rFonts w:ascii="Ping LCG Regular" w:hAnsi="Ping LCG Regular" w:cs="Arial"/>
          <w:spacing w:val="-14"/>
          <w:lang w:val="el-GR"/>
        </w:rPr>
      </w:pPr>
      <w:r w:rsidRPr="00445582">
        <w:rPr>
          <w:rFonts w:ascii="Ping LCG Regular" w:hAnsi="Ping LCG Regular" w:cs="Arial"/>
          <w:spacing w:val="-14"/>
          <w:lang w:val="el-GR"/>
        </w:rPr>
        <w:t xml:space="preserve">Η συμφωνία περιλαμβάνει την έκδοση μακροπρόθεσμου ομολογιακού δανείου ποσού έως €530 εκατ. με τη μορφή project </w:t>
      </w:r>
      <w:proofErr w:type="spellStart"/>
      <w:r w:rsidRPr="00445582">
        <w:rPr>
          <w:rFonts w:ascii="Ping LCG Regular" w:hAnsi="Ping LCG Regular" w:cs="Arial"/>
          <w:spacing w:val="-14"/>
          <w:lang w:val="el-GR"/>
        </w:rPr>
        <w:t>finance</w:t>
      </w:r>
      <w:proofErr w:type="spellEnd"/>
      <w:r w:rsidRPr="00445582">
        <w:rPr>
          <w:rFonts w:ascii="Ping LCG Regular" w:hAnsi="Ping LCG Regular" w:cs="Arial"/>
          <w:spacing w:val="-14"/>
          <w:lang w:val="el-GR"/>
        </w:rPr>
        <w:t xml:space="preserve"> από την 100% θυγατρική εταιρεία ειδικού σκοπού, που θα  ιδρύσει η ΔΕΗ και η οποία θα αναλάβει την κατασκευή, λειτουργία, εκμετάλλευση και συντήρηση του δικτύου οπτικών ινών, που θα δημιουργηθεί.  </w:t>
      </w:r>
    </w:p>
    <w:p w14:paraId="126AFA0A" w14:textId="77777777" w:rsidR="005D52D5" w:rsidRPr="00445582" w:rsidRDefault="00AD5D5D" w:rsidP="00AD5D5D">
      <w:pPr>
        <w:jc w:val="both"/>
        <w:rPr>
          <w:rFonts w:ascii="Ping LCG Regular" w:hAnsi="Ping LCG Regular" w:cs="Arial"/>
          <w:spacing w:val="-14"/>
          <w:lang w:val="el-GR"/>
        </w:rPr>
      </w:pPr>
      <w:r w:rsidRPr="00445582">
        <w:rPr>
          <w:rFonts w:ascii="Ping LCG Regular" w:hAnsi="Ping LCG Regular" w:cs="Arial"/>
          <w:spacing w:val="-14"/>
          <w:lang w:val="el-GR"/>
        </w:rPr>
        <w:t xml:space="preserve">Η ΔΕΗ θα προβεί σε νεότερη ανακοίνωση μετά την υπογραφή των συμβατικών κειμένων, η οποία θα γίνει με την οριστικοποίηση των τελικών όρων χρηματοδότησης μετά την ολοκλήρωση του </w:t>
      </w:r>
      <w:proofErr w:type="spellStart"/>
      <w:r w:rsidRPr="00445582">
        <w:rPr>
          <w:rFonts w:ascii="Ping LCG Regular" w:hAnsi="Ping LCG Regular" w:cs="Arial"/>
          <w:spacing w:val="-14"/>
          <w:lang w:val="el-GR"/>
        </w:rPr>
        <w:t>due</w:t>
      </w:r>
      <w:proofErr w:type="spellEnd"/>
      <w:r w:rsidRPr="00445582">
        <w:rPr>
          <w:rFonts w:ascii="Ping LCG Regular" w:hAnsi="Ping LCG Regular" w:cs="Arial"/>
          <w:spacing w:val="-14"/>
          <w:lang w:val="el-GR"/>
        </w:rPr>
        <w:t xml:space="preserve"> </w:t>
      </w:r>
      <w:proofErr w:type="spellStart"/>
      <w:r w:rsidRPr="00445582">
        <w:rPr>
          <w:rFonts w:ascii="Ping LCG Regular" w:hAnsi="Ping LCG Regular" w:cs="Arial"/>
          <w:spacing w:val="-14"/>
          <w:lang w:val="el-GR"/>
        </w:rPr>
        <w:t>diligence</w:t>
      </w:r>
      <w:proofErr w:type="spellEnd"/>
      <w:r w:rsidRPr="00445582">
        <w:rPr>
          <w:rFonts w:ascii="Ping LCG Regular" w:hAnsi="Ping LCG Regular" w:cs="Arial"/>
          <w:spacing w:val="-14"/>
          <w:lang w:val="el-GR"/>
        </w:rPr>
        <w:t>, που βρίσκεται σε εξέλιξη.</w:t>
      </w:r>
    </w:p>
    <w:p w14:paraId="02198C50" w14:textId="77777777" w:rsidR="005D52D5" w:rsidRPr="004761D1" w:rsidRDefault="005D52D5" w:rsidP="00AD5D5D">
      <w:pPr>
        <w:jc w:val="both"/>
        <w:rPr>
          <w:rFonts w:ascii="Ping LCG Regular" w:hAnsi="Ping LCG Regular" w:cs="Arial"/>
          <w:color w:val="000000"/>
          <w:lang w:val="el-GR"/>
        </w:rPr>
      </w:pPr>
    </w:p>
    <w:p w14:paraId="4E336978" w14:textId="73A1E58C" w:rsidR="005D52D5" w:rsidRDefault="005D52D5" w:rsidP="00AD5D5D">
      <w:pPr>
        <w:jc w:val="both"/>
        <w:rPr>
          <w:rFonts w:ascii="Ping LCG Regular" w:hAnsi="Ping LCG Regular" w:cs="Arial"/>
          <w:color w:val="000000"/>
          <w:u w:val="single"/>
          <w:lang w:val="el-GR"/>
        </w:rPr>
      </w:pPr>
      <w:r w:rsidRPr="00E14B07">
        <w:rPr>
          <w:rFonts w:ascii="Ping LCG Regular" w:hAnsi="Ping LCG Regular" w:cs="Arial"/>
          <w:color w:val="000000"/>
          <w:u w:val="single"/>
          <w:lang w:val="el-GR"/>
        </w:rPr>
        <w:t>Απορρόφηση των θυγατρικών εταιρειών «Λιγνιτική Μεγαλόπολης Μονοπρόσωπη Α.Ε.» και «Λιγνιτική Μελίτης Μονοπρόσωπη Α.Ε.»</w:t>
      </w:r>
    </w:p>
    <w:p w14:paraId="24F01330" w14:textId="77777777" w:rsidR="0008698B" w:rsidRPr="00E14B07" w:rsidRDefault="0008698B" w:rsidP="00AD5D5D">
      <w:pPr>
        <w:jc w:val="both"/>
        <w:rPr>
          <w:rFonts w:ascii="Ping LCG Regular" w:hAnsi="Ping LCG Regular" w:cs="Arial"/>
          <w:color w:val="000000"/>
          <w:u w:val="single"/>
          <w:lang w:val="el-GR"/>
        </w:rPr>
      </w:pPr>
    </w:p>
    <w:p w14:paraId="6EBFAE87" w14:textId="77F1BCCE" w:rsidR="009F2A80" w:rsidRPr="00445582" w:rsidRDefault="00B4419C" w:rsidP="005E5BE1">
      <w:pPr>
        <w:jc w:val="both"/>
        <w:rPr>
          <w:rFonts w:ascii="Ping LCG Regular" w:hAnsi="Ping LCG Regular" w:cs="Arial"/>
          <w:spacing w:val="-14"/>
          <w:lang w:val="el-GR"/>
        </w:rPr>
      </w:pPr>
      <w:r w:rsidRPr="00445582">
        <w:rPr>
          <w:rFonts w:ascii="Ping LCG Regular" w:hAnsi="Ping LCG Regular" w:cs="Arial"/>
          <w:spacing w:val="-14"/>
          <w:lang w:val="el-GR"/>
        </w:rPr>
        <w:t>Τ</w:t>
      </w:r>
      <w:r w:rsidR="001A3499" w:rsidRPr="00445582">
        <w:rPr>
          <w:rFonts w:ascii="Ping LCG Regular" w:hAnsi="Ping LCG Regular" w:cs="Arial"/>
          <w:spacing w:val="-14"/>
          <w:lang w:val="el-GR"/>
        </w:rPr>
        <w:t>ο Διοικητικό Συμβούλιο της ΔΕΗ Α.Ε.</w:t>
      </w:r>
      <w:r w:rsidRPr="00445582">
        <w:rPr>
          <w:rFonts w:ascii="Ping LCG Regular" w:hAnsi="Ping LCG Regular" w:cs="Arial"/>
          <w:spacing w:val="-14"/>
          <w:lang w:val="el-GR"/>
        </w:rPr>
        <w:t>, στο πλαίσιο της απορρόφησης των θυγατρικών εταιρειών «Λιγνιτική Μεγαλόπολης Μονοπρόσωπη Α.Ε.» και «Λιγνιτική Μελίτης Μονοπρόσωπη Α.Ε.»,</w:t>
      </w:r>
      <w:r w:rsidR="001A3499" w:rsidRPr="00445582">
        <w:rPr>
          <w:rFonts w:ascii="Ping LCG Regular" w:hAnsi="Ping LCG Regular" w:cs="Arial"/>
          <w:spacing w:val="-14"/>
          <w:lang w:val="el-GR"/>
        </w:rPr>
        <w:t xml:space="preserve"> ενέκρινε </w:t>
      </w:r>
      <w:r w:rsidRPr="00445582">
        <w:rPr>
          <w:rFonts w:ascii="Ping LCG Regular" w:hAnsi="Ping LCG Regular" w:cs="Arial"/>
          <w:spacing w:val="-14"/>
          <w:lang w:val="el-GR"/>
        </w:rPr>
        <w:t xml:space="preserve">τον Φεβρουάριο 2022 </w:t>
      </w:r>
      <w:proofErr w:type="spellStart"/>
      <w:r w:rsidR="005E5BE1" w:rsidRPr="00445582">
        <w:rPr>
          <w:rFonts w:ascii="Ping LCG Regular" w:hAnsi="Ping LCG Regular" w:cs="Arial"/>
          <w:spacing w:val="-14"/>
          <w:lang w:val="el-GR"/>
        </w:rPr>
        <w:t>τo</w:t>
      </w:r>
      <w:proofErr w:type="spellEnd"/>
      <w:r w:rsidR="005E5BE1" w:rsidRPr="00445582">
        <w:rPr>
          <w:rFonts w:ascii="Ping LCG Regular" w:hAnsi="Ping LCG Regular" w:cs="Arial"/>
          <w:spacing w:val="-14"/>
          <w:lang w:val="el-GR"/>
        </w:rPr>
        <w:t xml:space="preserve"> Σχέδιο Σύμβασης Συγχώνευσης με Απορρόφηση των θυγατρικών, τις Λογιστικές Καταστάσεις Μετασχηματισμού της 30.11.2021 και τις σχετικές Εκθέσεις Αποτίμησης των περιουσιακών στοιχείων και των υποχρεώσεων των υπόψη εταιρειών.</w:t>
      </w:r>
    </w:p>
    <w:p w14:paraId="0FE53010" w14:textId="667187CA" w:rsidR="00950FCA" w:rsidRPr="004761D1" w:rsidRDefault="00950FCA" w:rsidP="005E5BE1">
      <w:pPr>
        <w:jc w:val="both"/>
        <w:rPr>
          <w:rFonts w:ascii="Ping LCG Regular" w:hAnsi="Ping LCG Regular" w:cs="Arial"/>
          <w:color w:val="000000"/>
          <w:lang w:val="el-GR"/>
        </w:rPr>
      </w:pPr>
    </w:p>
    <w:p w14:paraId="656DE9D3" w14:textId="69C8FE7C" w:rsidR="00950FCA" w:rsidRDefault="00950FCA" w:rsidP="00950FCA">
      <w:pPr>
        <w:jc w:val="both"/>
        <w:rPr>
          <w:rFonts w:ascii="Ping LCG Regular" w:hAnsi="Ping LCG Regular" w:cs="Arial"/>
          <w:color w:val="000000"/>
          <w:u w:val="single"/>
          <w:lang w:val="el-GR"/>
        </w:rPr>
      </w:pPr>
      <w:r w:rsidRPr="00E14B07">
        <w:rPr>
          <w:rFonts w:ascii="Ping LCG Regular" w:hAnsi="Ping LCG Regular" w:cs="Arial"/>
          <w:color w:val="000000"/>
          <w:u w:val="single"/>
          <w:lang w:val="el-GR"/>
        </w:rPr>
        <w:t xml:space="preserve">Ολοκλήρωση της πώλησης του 49% του ΔΕΔΔΗΕ στη Macquarie </w:t>
      </w:r>
      <w:proofErr w:type="spellStart"/>
      <w:r w:rsidRPr="00E14B07">
        <w:rPr>
          <w:rFonts w:ascii="Ping LCG Regular" w:hAnsi="Ping LCG Regular" w:cs="Arial"/>
          <w:color w:val="000000"/>
          <w:u w:val="single"/>
          <w:lang w:val="el-GR"/>
        </w:rPr>
        <w:t>Asset</w:t>
      </w:r>
      <w:proofErr w:type="spellEnd"/>
      <w:r w:rsidRPr="00E14B07">
        <w:rPr>
          <w:rFonts w:ascii="Ping LCG Regular" w:hAnsi="Ping LCG Regular" w:cs="Arial"/>
          <w:color w:val="000000"/>
          <w:u w:val="single"/>
          <w:lang w:val="el-GR"/>
        </w:rPr>
        <w:t xml:space="preserve"> </w:t>
      </w:r>
      <w:proofErr w:type="spellStart"/>
      <w:r w:rsidRPr="00E14B07">
        <w:rPr>
          <w:rFonts w:ascii="Ping LCG Regular" w:hAnsi="Ping LCG Regular" w:cs="Arial"/>
          <w:color w:val="000000"/>
          <w:u w:val="single"/>
          <w:lang w:val="el-GR"/>
        </w:rPr>
        <w:t>Management</w:t>
      </w:r>
      <w:proofErr w:type="spellEnd"/>
      <w:r w:rsidR="006E7CC4" w:rsidRPr="004761D1">
        <w:rPr>
          <w:rFonts w:ascii="Ping LCG Regular" w:hAnsi="Ping LCG Regular" w:cs="Arial"/>
          <w:color w:val="000000"/>
          <w:u w:val="single"/>
          <w:lang w:val="el-GR"/>
        </w:rPr>
        <w:t xml:space="preserve"> </w:t>
      </w:r>
    </w:p>
    <w:p w14:paraId="5ED7B974" w14:textId="77777777" w:rsidR="0008698B" w:rsidRPr="00E14B07" w:rsidRDefault="0008698B" w:rsidP="00950FCA">
      <w:pPr>
        <w:jc w:val="both"/>
        <w:rPr>
          <w:rFonts w:ascii="Ping LCG Regular" w:hAnsi="Ping LCG Regular" w:cs="Arial"/>
          <w:color w:val="000000"/>
          <w:u w:val="single"/>
          <w:lang w:val="el-GR"/>
        </w:rPr>
      </w:pPr>
    </w:p>
    <w:p w14:paraId="1FB52287" w14:textId="66F62C5F" w:rsidR="009F2A80" w:rsidRDefault="00B307CD" w:rsidP="00E14B07">
      <w:pPr>
        <w:jc w:val="both"/>
        <w:rPr>
          <w:rFonts w:ascii="Ping LCG Regular" w:hAnsi="Ping LCG Regular" w:cs="Arial"/>
          <w:b/>
          <w:bCs/>
          <w:color w:val="000000"/>
          <w:lang w:val="el-GR"/>
        </w:rPr>
      </w:pPr>
      <w:r w:rsidRPr="00445582">
        <w:rPr>
          <w:rFonts w:ascii="Ping LCG Regular" w:hAnsi="Ping LCG Regular" w:cs="Arial"/>
          <w:spacing w:val="-14"/>
          <w:lang w:val="el-GR"/>
        </w:rPr>
        <w:t>Η</w:t>
      </w:r>
      <w:r w:rsidR="00950FCA" w:rsidRPr="00445582">
        <w:rPr>
          <w:rFonts w:ascii="Ping LCG Regular" w:hAnsi="Ping LCG Regular" w:cs="Arial"/>
          <w:spacing w:val="-14"/>
          <w:lang w:val="el-GR"/>
        </w:rPr>
        <w:t xml:space="preserve"> πώληση του 49% της συμμετοχής της </w:t>
      </w:r>
      <w:r w:rsidRPr="00445582">
        <w:rPr>
          <w:rFonts w:ascii="Ping LCG Regular" w:hAnsi="Ping LCG Regular" w:cs="Arial"/>
          <w:spacing w:val="-14"/>
          <w:lang w:val="el-GR"/>
        </w:rPr>
        <w:t xml:space="preserve">ΔΕΗ Α.Ε. </w:t>
      </w:r>
      <w:r w:rsidR="00950FCA" w:rsidRPr="00445582">
        <w:rPr>
          <w:rFonts w:ascii="Ping LCG Regular" w:hAnsi="Ping LCG Regular" w:cs="Arial"/>
          <w:spacing w:val="-14"/>
          <w:lang w:val="el-GR"/>
        </w:rPr>
        <w:t xml:space="preserve">στην ΔΕΔΔΗΕ Α.Ε. (Διαχειριστής Ελληνικού Δικτύου Διανομής Ηλεκτρικής Ενέργειας Α.Ε.) ολοκληρώθηκε </w:t>
      </w:r>
      <w:r w:rsidRPr="00445582">
        <w:rPr>
          <w:rFonts w:ascii="Ping LCG Regular" w:hAnsi="Ping LCG Regular" w:cs="Arial"/>
          <w:spacing w:val="-14"/>
          <w:lang w:val="el-GR"/>
        </w:rPr>
        <w:t xml:space="preserve">τον </w:t>
      </w:r>
      <w:r w:rsidR="00471087" w:rsidRPr="00445582">
        <w:rPr>
          <w:rFonts w:ascii="Ping LCG Regular" w:hAnsi="Ping LCG Regular" w:cs="Arial"/>
          <w:spacing w:val="-14"/>
          <w:lang w:val="el-GR"/>
        </w:rPr>
        <w:t>Φεβρου</w:t>
      </w:r>
      <w:r w:rsidR="00FE2502" w:rsidRPr="00445582">
        <w:rPr>
          <w:rFonts w:ascii="Ping LCG Regular" w:hAnsi="Ping LCG Regular" w:cs="Arial"/>
          <w:spacing w:val="-14"/>
          <w:lang w:val="el-GR"/>
        </w:rPr>
        <w:t>ά</w:t>
      </w:r>
      <w:r w:rsidR="00471087" w:rsidRPr="00445582">
        <w:rPr>
          <w:rFonts w:ascii="Ping LCG Regular" w:hAnsi="Ping LCG Regular" w:cs="Arial"/>
          <w:spacing w:val="-14"/>
          <w:lang w:val="el-GR"/>
        </w:rPr>
        <w:t xml:space="preserve">ριο 2022 </w:t>
      </w:r>
      <w:r w:rsidR="00950FCA" w:rsidRPr="00445582">
        <w:rPr>
          <w:rFonts w:ascii="Ping LCG Regular" w:hAnsi="Ping LCG Regular" w:cs="Arial"/>
          <w:spacing w:val="-14"/>
          <w:lang w:val="el-GR"/>
        </w:rPr>
        <w:t xml:space="preserve">με την κατάθεση € 1.320 εκατ. από την Macquarie </w:t>
      </w:r>
      <w:proofErr w:type="spellStart"/>
      <w:r w:rsidR="00950FCA" w:rsidRPr="00445582">
        <w:rPr>
          <w:rFonts w:ascii="Ping LCG Regular" w:hAnsi="Ping LCG Regular" w:cs="Arial"/>
          <w:spacing w:val="-14"/>
          <w:lang w:val="el-GR"/>
        </w:rPr>
        <w:t>Asset</w:t>
      </w:r>
      <w:proofErr w:type="spellEnd"/>
      <w:r w:rsidR="00950FCA" w:rsidRPr="00445582">
        <w:rPr>
          <w:rFonts w:ascii="Ping LCG Regular" w:hAnsi="Ping LCG Regular" w:cs="Arial"/>
          <w:spacing w:val="-14"/>
          <w:lang w:val="el-GR"/>
        </w:rPr>
        <w:t xml:space="preserve"> </w:t>
      </w:r>
      <w:proofErr w:type="spellStart"/>
      <w:r w:rsidR="00950FCA" w:rsidRPr="00445582">
        <w:rPr>
          <w:rFonts w:ascii="Ping LCG Regular" w:hAnsi="Ping LCG Regular" w:cs="Arial"/>
          <w:spacing w:val="-14"/>
          <w:lang w:val="el-GR"/>
        </w:rPr>
        <w:t>Management</w:t>
      </w:r>
      <w:proofErr w:type="spellEnd"/>
      <w:r w:rsidR="00950FCA" w:rsidRPr="00445582">
        <w:rPr>
          <w:rFonts w:ascii="Ping LCG Regular" w:hAnsi="Ping LCG Regular" w:cs="Arial"/>
          <w:spacing w:val="-14"/>
          <w:lang w:val="el-GR"/>
        </w:rPr>
        <w:t xml:space="preserve"> για την απόκτηση του προαναφερθέντος ποσοστού. Το τίμημα </w:t>
      </w:r>
      <w:r w:rsidR="00471087" w:rsidRPr="00445582">
        <w:rPr>
          <w:rFonts w:ascii="Ping LCG Regular" w:hAnsi="Ping LCG Regular" w:cs="Arial"/>
          <w:spacing w:val="-14"/>
          <w:lang w:val="el-GR"/>
        </w:rPr>
        <w:lastRenderedPageBreak/>
        <w:t xml:space="preserve">αναπροσαρμόστηκε </w:t>
      </w:r>
      <w:r w:rsidR="00950FCA" w:rsidRPr="00445582">
        <w:rPr>
          <w:rFonts w:ascii="Ping LCG Regular" w:hAnsi="Ping LCG Regular" w:cs="Arial"/>
          <w:spacing w:val="-14"/>
          <w:lang w:val="el-GR"/>
        </w:rPr>
        <w:t>ώστε να απεικονίζει τη μεταβολή στην Καθαρή Αξία του Ενεργητικού (</w:t>
      </w:r>
      <w:proofErr w:type="spellStart"/>
      <w:r w:rsidR="00950FCA" w:rsidRPr="00445582">
        <w:rPr>
          <w:rFonts w:ascii="Ping LCG Regular" w:hAnsi="Ping LCG Regular" w:cs="Arial"/>
          <w:spacing w:val="-14"/>
          <w:lang w:val="el-GR"/>
        </w:rPr>
        <w:t>Net</w:t>
      </w:r>
      <w:proofErr w:type="spellEnd"/>
      <w:r w:rsidR="00950FCA" w:rsidRPr="00445582">
        <w:rPr>
          <w:rFonts w:ascii="Ping LCG Regular" w:hAnsi="Ping LCG Regular" w:cs="Arial"/>
          <w:spacing w:val="-14"/>
          <w:lang w:val="el-GR"/>
        </w:rPr>
        <w:t xml:space="preserve"> </w:t>
      </w:r>
      <w:proofErr w:type="spellStart"/>
      <w:r w:rsidR="00950FCA" w:rsidRPr="00445582">
        <w:rPr>
          <w:rFonts w:ascii="Ping LCG Regular" w:hAnsi="Ping LCG Regular" w:cs="Arial"/>
          <w:spacing w:val="-14"/>
          <w:lang w:val="el-GR"/>
        </w:rPr>
        <w:t>Asset</w:t>
      </w:r>
      <w:proofErr w:type="spellEnd"/>
      <w:r w:rsidR="00950FCA" w:rsidRPr="00445582">
        <w:rPr>
          <w:rFonts w:ascii="Ping LCG Regular" w:hAnsi="Ping LCG Regular" w:cs="Arial"/>
          <w:spacing w:val="-14"/>
          <w:lang w:val="el-GR"/>
        </w:rPr>
        <w:t xml:space="preserve"> </w:t>
      </w:r>
      <w:proofErr w:type="spellStart"/>
      <w:r w:rsidR="00950FCA" w:rsidRPr="00445582">
        <w:rPr>
          <w:rFonts w:ascii="Ping LCG Regular" w:hAnsi="Ping LCG Regular" w:cs="Arial"/>
          <w:spacing w:val="-14"/>
          <w:lang w:val="el-GR"/>
        </w:rPr>
        <w:t>Value</w:t>
      </w:r>
      <w:proofErr w:type="spellEnd"/>
      <w:r w:rsidR="00950FCA" w:rsidRPr="00445582">
        <w:rPr>
          <w:rFonts w:ascii="Ping LCG Regular" w:hAnsi="Ping LCG Regular" w:cs="Arial"/>
          <w:spacing w:val="-14"/>
          <w:lang w:val="el-GR"/>
        </w:rPr>
        <w:t>) του ΔΕΔΔΗΕ έως την 28.2.2022, σύμφωνα με τους όρους της Σύμβασης Αγοράς Μετοχών.</w:t>
      </w:r>
      <w:r w:rsidR="00471087" w:rsidRPr="00445582">
        <w:rPr>
          <w:rFonts w:ascii="Ping LCG Regular" w:hAnsi="Ping LCG Regular" w:cs="Arial"/>
          <w:spacing w:val="-14"/>
          <w:lang w:val="el-GR"/>
        </w:rPr>
        <w:t xml:space="preserve"> </w:t>
      </w:r>
      <w:r w:rsidR="006E7CC4" w:rsidRPr="00445582">
        <w:rPr>
          <w:rFonts w:ascii="Ping LCG Regular" w:hAnsi="Ping LCG Regular" w:cs="Arial"/>
          <w:spacing w:val="-14"/>
          <w:lang w:val="el-GR"/>
        </w:rPr>
        <w:t xml:space="preserve"> </w:t>
      </w:r>
    </w:p>
    <w:p w14:paraId="5AF2D77D" w14:textId="2E23B1D0" w:rsidR="009F2A80" w:rsidRDefault="009F2A80">
      <w:pPr>
        <w:rPr>
          <w:rFonts w:ascii="Ping LCG Regular" w:hAnsi="Ping LCG Regular" w:cs="Arial"/>
          <w:b/>
          <w:bCs/>
          <w:color w:val="000000"/>
          <w:lang w:val="el-GR"/>
        </w:rPr>
      </w:pPr>
    </w:p>
    <w:p w14:paraId="2406B039" w14:textId="77777777" w:rsidR="008C0EF4" w:rsidRDefault="008C0EF4" w:rsidP="00454FD8">
      <w:pPr>
        <w:rPr>
          <w:rFonts w:ascii="Ping LCG Regular" w:hAnsi="Ping LCG Regular" w:cs="Arial"/>
          <w:spacing w:val="-14"/>
          <w:sz w:val="22"/>
          <w:szCs w:val="22"/>
          <w:lang w:val="el-GR"/>
        </w:rPr>
      </w:pPr>
    </w:p>
    <w:p w14:paraId="167952AA" w14:textId="77777777" w:rsidR="008C0EF4" w:rsidRDefault="008C0EF4" w:rsidP="00454FD8">
      <w:pPr>
        <w:rPr>
          <w:rFonts w:ascii="Ping LCG Regular" w:hAnsi="Ping LCG Regular" w:cs="Arial"/>
          <w:spacing w:val="-14"/>
          <w:sz w:val="22"/>
          <w:szCs w:val="22"/>
          <w:lang w:val="el-GR"/>
        </w:rPr>
      </w:pPr>
    </w:p>
    <w:p w14:paraId="29334026" w14:textId="542B26B8" w:rsidR="00454FD8" w:rsidRPr="00605E8C" w:rsidRDefault="00454FD8" w:rsidP="00454FD8">
      <w:pPr>
        <w:rPr>
          <w:rFonts w:ascii="Ping LCG Regular" w:hAnsi="Ping LCG Regular" w:cs="Arial"/>
          <w:spacing w:val="-14"/>
          <w:sz w:val="22"/>
          <w:szCs w:val="22"/>
          <w:lang w:val="el-GR"/>
        </w:rPr>
      </w:pPr>
      <w:r w:rsidRPr="00AC4BA8">
        <w:rPr>
          <w:rFonts w:ascii="Ping LCG Regular" w:hAnsi="Ping LCG Regular" w:cs="Arial"/>
          <w:spacing w:val="-14"/>
          <w:sz w:val="22"/>
          <w:szCs w:val="22"/>
          <w:lang w:val="el-GR"/>
        </w:rPr>
        <w:t>Για περισσότερες πληροφορίες παρακαλούμε απευθυνθείτε στη Διεύθυνση Επενδυτικών Σχέσεων (</w:t>
      </w:r>
      <w:proofErr w:type="spellStart"/>
      <w:r w:rsidRPr="00AC4BA8">
        <w:rPr>
          <w:rFonts w:ascii="Ping LCG Regular" w:hAnsi="Ping LCG Regular" w:cs="Arial"/>
          <w:spacing w:val="-14"/>
          <w:sz w:val="22"/>
          <w:szCs w:val="22"/>
        </w:rPr>
        <w:t>ir</w:t>
      </w:r>
      <w:proofErr w:type="spellEnd"/>
      <w:r w:rsidRPr="00AC4BA8">
        <w:rPr>
          <w:rFonts w:ascii="Ping LCG Regular" w:hAnsi="Ping LCG Regular" w:cs="Arial"/>
          <w:spacing w:val="-14"/>
          <w:sz w:val="22"/>
          <w:szCs w:val="22"/>
          <w:lang w:val="el-GR"/>
        </w:rPr>
        <w:t>@</w:t>
      </w:r>
      <w:r w:rsidRPr="00AC4BA8">
        <w:rPr>
          <w:rFonts w:ascii="Ping LCG Regular" w:hAnsi="Ping LCG Regular" w:cs="Arial"/>
          <w:spacing w:val="-14"/>
          <w:sz w:val="22"/>
          <w:szCs w:val="22"/>
        </w:rPr>
        <w:t>dei</w:t>
      </w:r>
      <w:r w:rsidRPr="00AC4BA8">
        <w:rPr>
          <w:rFonts w:ascii="Ping LCG Regular" w:hAnsi="Ping LCG Regular" w:cs="Arial"/>
          <w:spacing w:val="-14"/>
          <w:sz w:val="22"/>
          <w:szCs w:val="22"/>
          <w:lang w:val="el-GR"/>
        </w:rPr>
        <w:t>.</w:t>
      </w:r>
      <w:r w:rsidRPr="00AC4BA8">
        <w:rPr>
          <w:rFonts w:ascii="Ping LCG Regular" w:hAnsi="Ping LCG Regular" w:cs="Arial"/>
          <w:spacing w:val="-14"/>
          <w:sz w:val="22"/>
          <w:szCs w:val="22"/>
        </w:rPr>
        <w:t>gr</w:t>
      </w:r>
      <w:r w:rsidRPr="00AC4BA8">
        <w:rPr>
          <w:rFonts w:ascii="Ping LCG Regular" w:hAnsi="Ping LCG Regular" w:cs="Arial"/>
          <w:spacing w:val="-14"/>
          <w:sz w:val="22"/>
          <w:szCs w:val="22"/>
          <w:lang w:val="el-GR"/>
        </w:rPr>
        <w:t>):</w:t>
      </w:r>
    </w:p>
    <w:p w14:paraId="2E30B34B" w14:textId="77777777" w:rsidR="00454FD8" w:rsidRPr="00AC4BA8" w:rsidRDefault="00454FD8" w:rsidP="00454FD8">
      <w:pPr>
        <w:pStyle w:val="af1"/>
        <w:numPr>
          <w:ilvl w:val="0"/>
          <w:numId w:val="2"/>
        </w:numPr>
        <w:autoSpaceDE w:val="0"/>
        <w:autoSpaceDN w:val="0"/>
        <w:adjustRightInd w:val="0"/>
        <w:jc w:val="both"/>
        <w:rPr>
          <w:rFonts w:ascii="Ping LCG Regular" w:hAnsi="Ping LCG Regular" w:cs="Arial"/>
          <w:bCs/>
          <w:i/>
          <w:spacing w:val="-14"/>
          <w:sz w:val="22"/>
          <w:szCs w:val="22"/>
        </w:rPr>
      </w:pPr>
      <w:r w:rsidRPr="00AC4BA8">
        <w:rPr>
          <w:rFonts w:ascii="Ping LCG Regular" w:hAnsi="Ping LCG Regular" w:cs="Arial"/>
          <w:spacing w:val="-14"/>
          <w:sz w:val="22"/>
          <w:szCs w:val="22"/>
        </w:rPr>
        <w:t xml:space="preserve">κ. Ιωάννη </w:t>
      </w:r>
      <w:proofErr w:type="spellStart"/>
      <w:r w:rsidRPr="00AC4BA8">
        <w:rPr>
          <w:rFonts w:ascii="Ping LCG Regular" w:hAnsi="Ping LCG Regular" w:cs="Arial"/>
          <w:spacing w:val="-14"/>
          <w:sz w:val="22"/>
          <w:szCs w:val="22"/>
        </w:rPr>
        <w:t>Στέφο</w:t>
      </w:r>
      <w:proofErr w:type="spellEnd"/>
      <w:r w:rsidRPr="00AC4BA8">
        <w:rPr>
          <w:rFonts w:ascii="Ping LCG Regular" w:hAnsi="Ping LCG Regular" w:cs="Arial"/>
          <w:spacing w:val="-14"/>
          <w:sz w:val="22"/>
          <w:szCs w:val="22"/>
        </w:rPr>
        <w:t xml:space="preserve">, Διευθυντή Επενδυτικών Σχέσεων, </w:t>
      </w:r>
    </w:p>
    <w:p w14:paraId="1D5B14A6" w14:textId="77777777" w:rsidR="00454FD8" w:rsidRPr="00AC4BA8" w:rsidRDefault="00454FD8" w:rsidP="00454FD8">
      <w:pPr>
        <w:pStyle w:val="af1"/>
        <w:autoSpaceDE w:val="0"/>
        <w:autoSpaceDN w:val="0"/>
        <w:adjustRightInd w:val="0"/>
        <w:ind w:left="540"/>
        <w:jc w:val="both"/>
        <w:rPr>
          <w:rFonts w:ascii="Ping LCG Regular" w:hAnsi="Ping LCG Regular" w:cs="Arial"/>
          <w:bCs/>
          <w:i/>
          <w:spacing w:val="-14"/>
          <w:sz w:val="22"/>
          <w:szCs w:val="22"/>
        </w:rPr>
      </w:pPr>
      <w:proofErr w:type="spellStart"/>
      <w:r w:rsidRPr="00AC4BA8">
        <w:rPr>
          <w:rFonts w:ascii="Ping LCG Regular" w:hAnsi="Ping LCG Regular" w:cs="Arial"/>
          <w:spacing w:val="-14"/>
          <w:sz w:val="22"/>
          <w:szCs w:val="22"/>
        </w:rPr>
        <w:t>τηλ</w:t>
      </w:r>
      <w:proofErr w:type="spellEnd"/>
      <w:r w:rsidRPr="00AC4BA8">
        <w:rPr>
          <w:rFonts w:ascii="Ping LCG Regular" w:hAnsi="Ping LCG Regular" w:cs="Arial"/>
          <w:spacing w:val="-14"/>
          <w:sz w:val="22"/>
          <w:szCs w:val="22"/>
          <w:lang w:val="en-US"/>
        </w:rPr>
        <w:t xml:space="preserve">. 210 5292153, e-mail: i.stefos@dei.gr, </w:t>
      </w:r>
      <w:r w:rsidRPr="00AC4BA8">
        <w:rPr>
          <w:rFonts w:ascii="Ping LCG Regular" w:hAnsi="Ping LCG Regular" w:cs="Arial"/>
          <w:spacing w:val="-14"/>
          <w:sz w:val="22"/>
          <w:szCs w:val="22"/>
        </w:rPr>
        <w:t xml:space="preserve"> και</w:t>
      </w:r>
    </w:p>
    <w:p w14:paraId="4A33D3F5" w14:textId="77777777" w:rsidR="00454FD8" w:rsidRPr="00AC4BA8" w:rsidRDefault="00454FD8" w:rsidP="00454FD8">
      <w:pPr>
        <w:pStyle w:val="af1"/>
        <w:numPr>
          <w:ilvl w:val="0"/>
          <w:numId w:val="2"/>
        </w:numPr>
        <w:autoSpaceDE w:val="0"/>
        <w:autoSpaceDN w:val="0"/>
        <w:adjustRightInd w:val="0"/>
        <w:jc w:val="both"/>
        <w:rPr>
          <w:rFonts w:ascii="Ping LCG Regular" w:hAnsi="Ping LCG Regular" w:cs="Arial"/>
          <w:bCs/>
          <w:i/>
          <w:spacing w:val="-14"/>
          <w:sz w:val="22"/>
          <w:szCs w:val="22"/>
        </w:rPr>
      </w:pPr>
      <w:r w:rsidRPr="00AC4BA8">
        <w:rPr>
          <w:rFonts w:ascii="Ping LCG Regular" w:hAnsi="Ping LCG Regular" w:cs="Arial"/>
          <w:spacing w:val="-14"/>
          <w:sz w:val="22"/>
          <w:szCs w:val="22"/>
        </w:rPr>
        <w:t xml:space="preserve">κ. Εμμανουήλ Χατζάκη, Διευθυντή Κλάδου Σχέσεων με Αγορές, </w:t>
      </w:r>
    </w:p>
    <w:p w14:paraId="41574BED" w14:textId="77777777" w:rsidR="00454FD8" w:rsidRPr="008D1131" w:rsidRDefault="00454FD8" w:rsidP="00454FD8">
      <w:pPr>
        <w:ind w:firstLine="540"/>
        <w:rPr>
          <w:rFonts w:ascii="Ping LCG Regular" w:hAnsi="Ping LCG Regular" w:cs="Arial"/>
          <w:spacing w:val="-14"/>
          <w:sz w:val="22"/>
          <w:szCs w:val="22"/>
        </w:rPr>
      </w:pPr>
      <w:proofErr w:type="spellStart"/>
      <w:r w:rsidRPr="00AC4BA8">
        <w:rPr>
          <w:rFonts w:ascii="Ping LCG Regular" w:hAnsi="Ping LCG Regular" w:cs="Arial"/>
          <w:spacing w:val="-14"/>
          <w:sz w:val="22"/>
          <w:szCs w:val="22"/>
        </w:rPr>
        <w:t>τηλ</w:t>
      </w:r>
      <w:proofErr w:type="spellEnd"/>
      <w:r w:rsidRPr="00AC4BA8">
        <w:rPr>
          <w:rFonts w:ascii="Ping LCG Regular" w:hAnsi="Ping LCG Regular" w:cs="Arial"/>
          <w:spacing w:val="-14"/>
          <w:sz w:val="22"/>
          <w:szCs w:val="22"/>
        </w:rPr>
        <w:t xml:space="preserve">. 210 5235832, e-mail: </w:t>
      </w:r>
      <w:hyperlink r:id="rId11" w:history="1">
        <w:r w:rsidRPr="00AC4BA8">
          <w:rPr>
            <w:rFonts w:ascii="Ping LCG Regular" w:hAnsi="Ping LCG Regular" w:cs="Arial"/>
            <w:spacing w:val="-14"/>
            <w:sz w:val="22"/>
            <w:szCs w:val="22"/>
          </w:rPr>
          <w:t>e.hatzakis@dei.gr</w:t>
        </w:r>
      </w:hyperlink>
      <w:r w:rsidRPr="00AC4BA8">
        <w:rPr>
          <w:rFonts w:ascii="Ping LCG Regular" w:hAnsi="Ping LCG Regular" w:cs="Arial"/>
          <w:spacing w:val="-14"/>
          <w:sz w:val="22"/>
          <w:szCs w:val="22"/>
        </w:rPr>
        <w:t>.</w:t>
      </w:r>
    </w:p>
    <w:p w14:paraId="4D08887B" w14:textId="77777777" w:rsidR="00454FD8" w:rsidRPr="008D1131" w:rsidRDefault="00454FD8" w:rsidP="00454FD8">
      <w:pPr>
        <w:spacing w:after="200" w:line="276" w:lineRule="auto"/>
        <w:rPr>
          <w:rFonts w:ascii="Ping LCG Regular" w:hAnsi="Ping LCG Regular" w:cs="Arial"/>
          <w:spacing w:val="-14"/>
          <w:sz w:val="22"/>
          <w:szCs w:val="22"/>
        </w:rPr>
      </w:pPr>
    </w:p>
    <w:p w14:paraId="5B68B82A" w14:textId="77777777" w:rsidR="00454FD8" w:rsidRPr="0045307E" w:rsidRDefault="00454FD8" w:rsidP="00454FD8">
      <w:pPr>
        <w:spacing w:after="200" w:line="276" w:lineRule="auto"/>
        <w:jc w:val="both"/>
        <w:rPr>
          <w:rFonts w:ascii="Ping LCG Regular" w:hAnsi="Ping LCG Regular" w:cs="Arial"/>
          <w:spacing w:val="-14"/>
          <w:sz w:val="22"/>
          <w:szCs w:val="22"/>
          <w:lang w:val="el-GR"/>
        </w:rPr>
      </w:pPr>
      <w:r w:rsidRPr="008D1131">
        <w:rPr>
          <w:rFonts w:ascii="Ping LCG Regular" w:hAnsi="Ping LCG Regular" w:cs="Arial"/>
          <w:spacing w:val="-14"/>
          <w:sz w:val="22"/>
          <w:szCs w:val="22"/>
          <w:lang w:val="el-GR"/>
        </w:rPr>
        <w:t>Το Δελτίο Τύπου είναι διαθέσιμο στον διαδικτυακό τόπο της ΔΕΗ Α.Ε (</w:t>
      </w:r>
      <w:r w:rsidR="00244DFE">
        <w:fldChar w:fldCharType="begin"/>
      </w:r>
      <w:r w:rsidR="00244DFE" w:rsidRPr="00EA6980">
        <w:rPr>
          <w:lang w:val="el-GR"/>
        </w:rPr>
        <w:instrText xml:space="preserve"> </w:instrText>
      </w:r>
      <w:r w:rsidR="00244DFE">
        <w:instrText>HYPERLINK</w:instrText>
      </w:r>
      <w:r w:rsidR="00244DFE" w:rsidRPr="00EA6980">
        <w:rPr>
          <w:lang w:val="el-GR"/>
        </w:rPr>
        <w:instrText xml:space="preserve"> "</w:instrText>
      </w:r>
      <w:r w:rsidR="00244DFE">
        <w:instrText>http</w:instrText>
      </w:r>
      <w:r w:rsidR="00244DFE" w:rsidRPr="00EA6980">
        <w:rPr>
          <w:lang w:val="el-GR"/>
        </w:rPr>
        <w:instrText>://</w:instrText>
      </w:r>
      <w:r w:rsidR="00244DFE">
        <w:instrText>www</w:instrText>
      </w:r>
      <w:r w:rsidR="00244DFE" w:rsidRPr="00EA6980">
        <w:rPr>
          <w:lang w:val="el-GR"/>
        </w:rPr>
        <w:instrText>.</w:instrText>
      </w:r>
      <w:r w:rsidR="00244DFE">
        <w:instrText>dei</w:instrText>
      </w:r>
      <w:r w:rsidR="00244DFE" w:rsidRPr="00EA6980">
        <w:rPr>
          <w:lang w:val="el-GR"/>
        </w:rPr>
        <w:instrText>.</w:instrText>
      </w:r>
      <w:r w:rsidR="00244DFE">
        <w:instrText>gr</w:instrText>
      </w:r>
      <w:r w:rsidR="00244DFE" w:rsidRPr="00EA6980">
        <w:rPr>
          <w:lang w:val="el-GR"/>
        </w:rPr>
        <w:instrText xml:space="preserve">" </w:instrText>
      </w:r>
      <w:r w:rsidR="00244DFE">
        <w:fldChar w:fldCharType="separate"/>
      </w:r>
      <w:r w:rsidRPr="008D1131">
        <w:rPr>
          <w:rStyle w:val="-"/>
          <w:rFonts w:ascii="Ping LCG Regular" w:hAnsi="Ping LCG Regular" w:cs="Arial"/>
          <w:spacing w:val="-14"/>
          <w:sz w:val="22"/>
          <w:szCs w:val="22"/>
        </w:rPr>
        <w:t>www</w:t>
      </w:r>
      <w:r w:rsidRPr="008D1131">
        <w:rPr>
          <w:rStyle w:val="-"/>
          <w:sz w:val="22"/>
          <w:szCs w:val="22"/>
          <w:lang w:val="el-GR"/>
        </w:rPr>
        <w:t>.</w:t>
      </w:r>
      <w:r w:rsidRPr="008D1131">
        <w:rPr>
          <w:rStyle w:val="-"/>
          <w:rFonts w:ascii="Ping LCG Regular" w:hAnsi="Ping LCG Regular" w:cs="Arial"/>
          <w:spacing w:val="-14"/>
          <w:sz w:val="22"/>
          <w:szCs w:val="22"/>
        </w:rPr>
        <w:t>dei</w:t>
      </w:r>
      <w:r w:rsidRPr="008D1131">
        <w:rPr>
          <w:rStyle w:val="-"/>
          <w:sz w:val="22"/>
          <w:szCs w:val="22"/>
          <w:lang w:val="el-GR"/>
        </w:rPr>
        <w:t>.</w:t>
      </w:r>
      <w:r w:rsidRPr="008D1131">
        <w:rPr>
          <w:rStyle w:val="-"/>
          <w:rFonts w:ascii="Ping LCG Regular" w:hAnsi="Ping LCG Regular" w:cs="Arial"/>
          <w:spacing w:val="-14"/>
          <w:sz w:val="22"/>
          <w:szCs w:val="22"/>
        </w:rPr>
        <w:t>gr</w:t>
      </w:r>
      <w:r w:rsidR="00244DFE">
        <w:rPr>
          <w:rStyle w:val="-"/>
          <w:rFonts w:ascii="Ping LCG Regular" w:hAnsi="Ping LCG Regular" w:cs="Arial"/>
          <w:spacing w:val="-14"/>
          <w:sz w:val="22"/>
          <w:szCs w:val="22"/>
        </w:rPr>
        <w:fldChar w:fldCharType="end"/>
      </w:r>
      <w:r w:rsidRPr="008D1131">
        <w:rPr>
          <w:rFonts w:ascii="Ping LCG Regular" w:hAnsi="Ping LCG Regular" w:cs="Arial"/>
          <w:spacing w:val="-14"/>
          <w:sz w:val="22"/>
          <w:szCs w:val="22"/>
          <w:lang w:val="el-GR"/>
        </w:rPr>
        <w:t>) στην ενότητα “Ε</w:t>
      </w:r>
      <w:r>
        <w:rPr>
          <w:rFonts w:ascii="Ping LCG Regular" w:hAnsi="Ping LCG Regular" w:cs="Arial"/>
          <w:spacing w:val="-14"/>
          <w:sz w:val="22"/>
          <w:szCs w:val="22"/>
          <w:lang w:val="el-GR"/>
        </w:rPr>
        <w:t>πενδυτικές Σχέσεις</w:t>
      </w:r>
      <w:r w:rsidRPr="008D1131">
        <w:rPr>
          <w:rFonts w:ascii="Ping LCG Regular" w:hAnsi="Ping LCG Regular" w:cs="Arial"/>
          <w:spacing w:val="-14"/>
          <w:sz w:val="22"/>
          <w:szCs w:val="22"/>
          <w:lang w:val="el-GR"/>
        </w:rPr>
        <w:t xml:space="preserve">”. </w:t>
      </w:r>
    </w:p>
    <w:p w14:paraId="276244EF" w14:textId="77777777" w:rsidR="00454FD8" w:rsidRPr="008D1131" w:rsidRDefault="00454FD8" w:rsidP="00454FD8">
      <w:pPr>
        <w:spacing w:after="200" w:line="276" w:lineRule="auto"/>
        <w:jc w:val="both"/>
        <w:rPr>
          <w:rFonts w:ascii="Ping LCG Regular" w:hAnsi="Ping LCG Regular" w:cs="Arial"/>
          <w:b/>
          <w:bCs/>
          <w:spacing w:val="-14"/>
          <w:sz w:val="22"/>
          <w:szCs w:val="22"/>
          <w:lang w:val="el-GR"/>
        </w:rPr>
      </w:pPr>
      <w:r w:rsidRPr="008D1131">
        <w:rPr>
          <w:rFonts w:ascii="Ping LCG Regular" w:hAnsi="Ping LCG Regular" w:cs="Arial"/>
          <w:b/>
          <w:bCs/>
          <w:spacing w:val="-14"/>
          <w:sz w:val="22"/>
          <w:szCs w:val="22"/>
          <w:lang w:val="el-GR"/>
        </w:rPr>
        <w:t>Σχετικά με τη Δημόσια Επιχείρηση Ηλεκτρισμού Α.Ε.</w:t>
      </w:r>
    </w:p>
    <w:p w14:paraId="7FFB52E5" w14:textId="77777777" w:rsidR="00454FD8" w:rsidRPr="00D61B87" w:rsidRDefault="00454FD8" w:rsidP="00454FD8">
      <w:pPr>
        <w:spacing w:after="120"/>
        <w:jc w:val="both"/>
        <w:rPr>
          <w:rFonts w:ascii="Ping LCG Regular" w:hAnsi="Ping LCG Regular" w:cs="Arial"/>
          <w:spacing w:val="-14"/>
          <w:sz w:val="22"/>
          <w:szCs w:val="22"/>
          <w:lang w:val="el-GR"/>
        </w:rPr>
      </w:pPr>
      <w:r w:rsidRPr="008D1131">
        <w:rPr>
          <w:rFonts w:ascii="Ping LCG Regular" w:hAnsi="Ping LCG Regular" w:cs="Arial"/>
          <w:spacing w:val="-14"/>
          <w:sz w:val="22"/>
          <w:szCs w:val="22"/>
          <w:lang w:val="el-GR"/>
        </w:rPr>
        <w:t xml:space="preserve">Η ΔΕΗ είναι η κορυφαία εταιρεία παραγωγής και προμήθειας ηλεκτρικής ενέργειας στην Ελλάδα, με δραστηριότητες στην παραγωγή, διανομή και  πώληση ηλεκτρικής ενέργειας στους </w:t>
      </w:r>
      <w:r w:rsidRPr="00D61B87">
        <w:rPr>
          <w:rFonts w:ascii="Ping LCG Regular" w:hAnsi="Ping LCG Regular" w:cs="Arial"/>
          <w:spacing w:val="-14"/>
          <w:sz w:val="22"/>
          <w:szCs w:val="22"/>
          <w:lang w:val="el-GR"/>
        </w:rPr>
        <w:t xml:space="preserve">καταναλωτές.   </w:t>
      </w:r>
    </w:p>
    <w:p w14:paraId="67A825BB" w14:textId="0D113100" w:rsidR="00454FD8" w:rsidRPr="008D1131" w:rsidRDefault="00454FD8" w:rsidP="00454FD8">
      <w:pPr>
        <w:spacing w:after="120"/>
        <w:jc w:val="both"/>
        <w:rPr>
          <w:rFonts w:ascii="Ping LCG Regular" w:hAnsi="Ping LCG Regular" w:cs="Arial"/>
          <w:spacing w:val="-14"/>
          <w:sz w:val="22"/>
          <w:szCs w:val="22"/>
          <w:lang w:val="el-GR"/>
        </w:rPr>
      </w:pPr>
      <w:r w:rsidRPr="00D61B87">
        <w:rPr>
          <w:rFonts w:ascii="Ping LCG Regular" w:hAnsi="Ping LCG Regular" w:cs="Arial"/>
          <w:spacing w:val="-14"/>
          <w:sz w:val="22"/>
          <w:szCs w:val="22"/>
          <w:lang w:val="el-GR"/>
        </w:rPr>
        <w:t>Είναι η μεγαλύτερη εταιρεία παραγωγής ηλεκτρικής ενέργειας στην Ελλάδα και διαθέτει παραγωγικό δυναμικό 10,</w:t>
      </w:r>
      <w:r w:rsidR="00A86212" w:rsidRPr="00445582">
        <w:rPr>
          <w:rFonts w:ascii="Ping LCG Regular" w:hAnsi="Ping LCG Regular" w:cs="Arial"/>
          <w:spacing w:val="-14"/>
          <w:sz w:val="22"/>
          <w:szCs w:val="22"/>
          <w:lang w:val="el-GR"/>
        </w:rPr>
        <w:t>3</w:t>
      </w:r>
      <w:r w:rsidRPr="00D61B87">
        <w:rPr>
          <w:rFonts w:ascii="Ping LCG Regular" w:hAnsi="Ping LCG Regular" w:cs="Arial"/>
          <w:spacing w:val="-14"/>
          <w:sz w:val="22"/>
          <w:szCs w:val="22"/>
          <w:lang w:val="el-GR"/>
        </w:rPr>
        <w:t>GW, με θερμικούς και υδροηλεκτρικούς σταθμούς καθώς και εγκαταστάσεις Ανανεώσιμων</w:t>
      </w:r>
      <w:r w:rsidRPr="008D1131">
        <w:rPr>
          <w:rFonts w:ascii="Ping LCG Regular" w:hAnsi="Ping LCG Regular" w:cs="Arial"/>
          <w:spacing w:val="-14"/>
          <w:sz w:val="22"/>
          <w:szCs w:val="22"/>
          <w:lang w:val="el-GR"/>
        </w:rPr>
        <w:t xml:space="preserve"> </w:t>
      </w:r>
      <w:r w:rsidRPr="00CA47AF">
        <w:rPr>
          <w:rFonts w:ascii="Ping LCG Regular" w:hAnsi="Ping LCG Regular" w:cs="Arial"/>
          <w:spacing w:val="-14"/>
          <w:sz w:val="22"/>
          <w:szCs w:val="22"/>
          <w:lang w:val="el-GR"/>
        </w:rPr>
        <w:t>Πηγών Ενέργειας. Έχει στην κυριότητά της το δίκτυο διανομής ηλεκτρικής ενέργειας με Ρυθμιζόμενη Περιουσιακή Βάση περίπου €3</w:t>
      </w:r>
      <w:r w:rsidRPr="00F43007">
        <w:rPr>
          <w:rFonts w:ascii="Ping LCG Regular" w:hAnsi="Ping LCG Regular" w:cs="Arial"/>
          <w:spacing w:val="-14"/>
          <w:sz w:val="22"/>
          <w:szCs w:val="22"/>
          <w:lang w:val="el-GR"/>
        </w:rPr>
        <w:t xml:space="preserve"> </w:t>
      </w:r>
      <w:r w:rsidRPr="00CA47AF">
        <w:rPr>
          <w:rFonts w:ascii="Ping LCG Regular" w:hAnsi="Ping LCG Regular" w:cs="Arial"/>
          <w:spacing w:val="-14"/>
          <w:sz w:val="22"/>
          <w:szCs w:val="22"/>
          <w:lang w:val="el-GR"/>
        </w:rPr>
        <w:t>δισ. Είναι ο μεγαλύτερος προμηθευτής ηλεκτρικής ενέργειας στην Ελλάδα, εξυπηρετώντας περίπου 5,8 εκατ. πελάτες σε όλη τη χώρα.</w:t>
      </w:r>
    </w:p>
    <w:p w14:paraId="38BC7198" w14:textId="77777777" w:rsidR="00454FD8" w:rsidRDefault="00454FD8" w:rsidP="00454FD8">
      <w:pPr>
        <w:spacing w:after="120"/>
        <w:jc w:val="both"/>
        <w:rPr>
          <w:rFonts w:ascii="Ping LCG Regular" w:hAnsi="Ping LCG Regular" w:cs="Arial"/>
          <w:spacing w:val="-14"/>
          <w:sz w:val="22"/>
          <w:szCs w:val="22"/>
          <w:lang w:val="el-GR"/>
        </w:rPr>
      </w:pPr>
      <w:r w:rsidRPr="008D1131">
        <w:rPr>
          <w:rFonts w:ascii="Ping LCG Regular" w:hAnsi="Ping LCG Regular" w:cs="Arial"/>
          <w:spacing w:val="-14"/>
          <w:sz w:val="22"/>
          <w:szCs w:val="22"/>
          <w:lang w:val="el-GR"/>
        </w:rPr>
        <w:t>Η ΔΕΗ είναι εισηγμένη και οι μετοχές της διαπραγματεύονται στην Κύρια Αγορά του Χρηματιστηρίου Αθηνών.</w:t>
      </w:r>
    </w:p>
    <w:p w14:paraId="305E94F5" w14:textId="77777777" w:rsidR="00454FD8" w:rsidRDefault="00454FD8" w:rsidP="00454FD8">
      <w:pPr>
        <w:spacing w:after="120"/>
        <w:jc w:val="both"/>
        <w:rPr>
          <w:rFonts w:ascii="Ping LCG Regular" w:hAnsi="Ping LCG Regular" w:cs="Arial"/>
          <w:spacing w:val="-14"/>
          <w:sz w:val="22"/>
          <w:szCs w:val="22"/>
          <w:lang w:val="el-GR"/>
        </w:rPr>
      </w:pPr>
    </w:p>
    <w:p w14:paraId="37855272" w14:textId="77777777" w:rsidR="00454FD8" w:rsidRPr="008D1131" w:rsidRDefault="00454FD8" w:rsidP="00454FD8">
      <w:pPr>
        <w:spacing w:after="200" w:line="276" w:lineRule="auto"/>
        <w:jc w:val="both"/>
        <w:rPr>
          <w:rFonts w:ascii="Ping LCG Regular" w:hAnsi="Ping LCG Regular" w:cs="Arial"/>
          <w:b/>
          <w:bCs/>
          <w:spacing w:val="-14"/>
          <w:sz w:val="22"/>
          <w:szCs w:val="22"/>
          <w:lang w:val="el-GR"/>
        </w:rPr>
      </w:pPr>
      <w:r w:rsidRPr="008D1131">
        <w:rPr>
          <w:rFonts w:ascii="Ping LCG Regular" w:hAnsi="Ping LCG Regular" w:cs="Arial"/>
          <w:b/>
          <w:bCs/>
          <w:spacing w:val="-14"/>
          <w:sz w:val="22"/>
          <w:szCs w:val="22"/>
          <w:lang w:val="el-GR"/>
        </w:rPr>
        <w:t>Δήλωση αποποίησης ευθύνης</w:t>
      </w:r>
    </w:p>
    <w:p w14:paraId="10B8B848" w14:textId="77777777" w:rsidR="00454FD8" w:rsidRPr="008D1131" w:rsidRDefault="00454FD8" w:rsidP="00454FD8">
      <w:pPr>
        <w:spacing w:after="200" w:line="276" w:lineRule="auto"/>
        <w:jc w:val="both"/>
        <w:rPr>
          <w:rFonts w:ascii="Ping LCG Regular" w:hAnsi="Ping LCG Regular" w:cs="Arial"/>
          <w:spacing w:val="-14"/>
          <w:sz w:val="22"/>
          <w:szCs w:val="22"/>
          <w:lang w:val="el-GR"/>
        </w:rPr>
      </w:pPr>
      <w:r w:rsidRPr="008D1131">
        <w:rPr>
          <w:rFonts w:ascii="Ping LCG Regular" w:hAnsi="Ping LCG Regular" w:cs="Arial"/>
          <w:spacing w:val="-14"/>
          <w:sz w:val="22"/>
          <w:szCs w:val="22"/>
          <w:lang w:val="el-GR"/>
        </w:rPr>
        <w:t xml:space="preserve">Ορισμένες πληροφορίες που περιέχονται στην παρούσα ανακοίνωση, συμπεριλαμβανομένων των μελλοντικών EBITDA, των κερδών, των δαπανών και άλλων οικονομικών μέτρων που αφορούν σε μελλοντικές περιόδους, βασίζονται σε τρέχουσες προσδοκίες και παραδοχές σχετικά με μελλοντικά γεγονότα. Οι χρηματοοικονομικοί δείκτες που αναφέρονται σε μελλοντικές περιόδους βασίζονται σε τρέχουσες εύλογες και καλόπιστες παραδοχές. Δεν παρέχουμε καμία διαβεβαίωση ότι οι εν λόγω χρηματοοικονομικοί δείκτες θα επιτευχθούν.  </w:t>
      </w:r>
    </w:p>
    <w:p w14:paraId="198265F8" w14:textId="77777777" w:rsidR="00454FD8" w:rsidRPr="008D1131" w:rsidRDefault="00454FD8" w:rsidP="00454FD8">
      <w:pPr>
        <w:spacing w:after="200" w:line="276" w:lineRule="auto"/>
        <w:jc w:val="both"/>
        <w:rPr>
          <w:rFonts w:ascii="Ping LCG Regular" w:hAnsi="Ping LCG Regular" w:cs="Arial"/>
          <w:spacing w:val="-14"/>
          <w:sz w:val="22"/>
          <w:szCs w:val="22"/>
          <w:lang w:val="el-GR"/>
        </w:rPr>
      </w:pPr>
      <w:r w:rsidRPr="008D1131">
        <w:rPr>
          <w:rFonts w:ascii="Ping LCG Regular" w:hAnsi="Ping LCG Regular" w:cs="Arial"/>
          <w:spacing w:val="-14"/>
          <w:sz w:val="22"/>
          <w:szCs w:val="22"/>
          <w:lang w:val="el-GR"/>
        </w:rPr>
        <w:t xml:space="preserve">Αυτές οι δηλώσεις που αφορούν μελλοντικά γεγονότα υπόκεινται, μεταξύ άλλων, i) στους επιχειρηματικούς, οικονομικούς και ανταγωνιστικούς κινδύνους, </w:t>
      </w:r>
      <w:proofErr w:type="spellStart"/>
      <w:r w:rsidRPr="008D1131">
        <w:rPr>
          <w:rFonts w:ascii="Ping LCG Regular" w:hAnsi="Ping LCG Regular" w:cs="Arial"/>
          <w:spacing w:val="-14"/>
          <w:sz w:val="22"/>
          <w:szCs w:val="22"/>
          <w:lang w:val="el-GR"/>
        </w:rPr>
        <w:t>ii</w:t>
      </w:r>
      <w:proofErr w:type="spellEnd"/>
      <w:r w:rsidRPr="008D1131">
        <w:rPr>
          <w:rFonts w:ascii="Ping LCG Regular" w:hAnsi="Ping LCG Regular" w:cs="Arial"/>
          <w:spacing w:val="-14"/>
          <w:sz w:val="22"/>
          <w:szCs w:val="22"/>
          <w:lang w:val="el-GR"/>
        </w:rPr>
        <w:t xml:space="preserve">) στις μακροοικονομικές συνθήκες, </w:t>
      </w:r>
      <w:proofErr w:type="spellStart"/>
      <w:r w:rsidRPr="008D1131">
        <w:rPr>
          <w:rFonts w:ascii="Ping LCG Regular" w:hAnsi="Ping LCG Regular" w:cs="Arial"/>
          <w:spacing w:val="-14"/>
          <w:sz w:val="22"/>
          <w:szCs w:val="22"/>
          <w:lang w:val="el-GR"/>
        </w:rPr>
        <w:t>iii</w:t>
      </w:r>
      <w:proofErr w:type="spellEnd"/>
      <w:r w:rsidRPr="008D1131">
        <w:rPr>
          <w:rFonts w:ascii="Ping LCG Regular" w:hAnsi="Ping LCG Regular" w:cs="Arial"/>
          <w:spacing w:val="-14"/>
          <w:sz w:val="22"/>
          <w:szCs w:val="22"/>
          <w:lang w:val="el-GR"/>
        </w:rPr>
        <w:t xml:space="preserve">) στη διακύμανση του ευρώ έναντι της συναλλαγματικής ισοτιμίας του δολαρίου ΗΠΑ, </w:t>
      </w:r>
      <w:proofErr w:type="spellStart"/>
      <w:r w:rsidRPr="008D1131">
        <w:rPr>
          <w:rFonts w:ascii="Ping LCG Regular" w:hAnsi="Ping LCG Regular" w:cs="Arial"/>
          <w:spacing w:val="-14"/>
          <w:sz w:val="22"/>
          <w:szCs w:val="22"/>
          <w:lang w:val="el-GR"/>
        </w:rPr>
        <w:t>iv</w:t>
      </w:r>
      <w:proofErr w:type="spellEnd"/>
      <w:r w:rsidRPr="008D1131">
        <w:rPr>
          <w:rFonts w:ascii="Ping LCG Regular" w:hAnsi="Ping LCG Regular" w:cs="Arial"/>
          <w:spacing w:val="-14"/>
          <w:sz w:val="22"/>
          <w:szCs w:val="22"/>
          <w:lang w:val="el-GR"/>
        </w:rPr>
        <w:t>) στις τιμές πετρελαίου, φυσικού αερίου και ηλεκτρικής ενέργειας και στην τιμή των δικαιωμάτων εκπομπών CO</w:t>
      </w:r>
      <w:r w:rsidRPr="00D24442">
        <w:rPr>
          <w:rFonts w:ascii="Ping LCG Regular" w:hAnsi="Ping LCG Regular" w:cs="Arial"/>
          <w:spacing w:val="-14"/>
          <w:sz w:val="22"/>
          <w:szCs w:val="22"/>
          <w:vertAlign w:val="subscript"/>
          <w:lang w:val="el-GR"/>
        </w:rPr>
        <w:t>2</w:t>
      </w:r>
      <w:r w:rsidRPr="008D1131">
        <w:rPr>
          <w:rFonts w:ascii="Ping LCG Regular" w:hAnsi="Ping LCG Regular" w:cs="Arial"/>
          <w:spacing w:val="-14"/>
          <w:sz w:val="22"/>
          <w:szCs w:val="22"/>
          <w:lang w:val="el-GR"/>
        </w:rPr>
        <w:t xml:space="preserve">, v) στις αλλαγές του τοπίου της αγοράς και του νομικού, κανονιστικού και φορολογικού τοπίου, </w:t>
      </w:r>
      <w:proofErr w:type="spellStart"/>
      <w:r w:rsidRPr="008D1131">
        <w:rPr>
          <w:rFonts w:ascii="Ping LCG Regular" w:hAnsi="Ping LCG Regular" w:cs="Arial"/>
          <w:spacing w:val="-14"/>
          <w:sz w:val="22"/>
          <w:szCs w:val="22"/>
          <w:lang w:val="el-GR"/>
        </w:rPr>
        <w:t>vi</w:t>
      </w:r>
      <w:proofErr w:type="spellEnd"/>
      <w:r w:rsidRPr="008D1131">
        <w:rPr>
          <w:rFonts w:ascii="Ping LCG Regular" w:hAnsi="Ping LCG Regular" w:cs="Arial"/>
          <w:spacing w:val="-14"/>
          <w:sz w:val="22"/>
          <w:szCs w:val="22"/>
          <w:lang w:val="el-GR"/>
        </w:rPr>
        <w:t xml:space="preserve">) στην εξέλιξη του επισφαλούς χρέους, και (VII) άλλες αβεβαιότητες και απρόβλεπτες καταστάσεις, οι οποίες σχετίζονται με παράγοντες που η ΔΕΗ δεν είναι σε θέση να ελέγξει ή να εκτιμήσει με ακρίβεια, και οι οποίοι θα μπορούσαν να έχουν ως αποτέλεσμα την ουσιαστική διαφοροποίηση των πραγματικών γεγονότων ή των αποτελεσμάτων από εκείνα που εκφράζονται στην παρουσίαση. Ως εκ τούτου, δεν θα πρέπει βασίζεστε υπέρ του δέοντος σε αυτές τις δηλώσεις που αφορούν μελλοντικά γεγονότα, οι οποίες αφορούν μόνον την ημερομηνία της παρούσας ανακοίνωσης. </w:t>
      </w:r>
    </w:p>
    <w:p w14:paraId="3A8E9D55" w14:textId="77777777" w:rsidR="00454FD8" w:rsidRPr="008D1131" w:rsidRDefault="00454FD8" w:rsidP="00454FD8">
      <w:pPr>
        <w:spacing w:after="200" w:line="276" w:lineRule="auto"/>
        <w:jc w:val="both"/>
        <w:rPr>
          <w:sz w:val="22"/>
          <w:szCs w:val="22"/>
          <w:lang w:val="el-GR"/>
        </w:rPr>
      </w:pPr>
      <w:r w:rsidRPr="008D1131">
        <w:rPr>
          <w:rFonts w:ascii="Ping LCG Regular" w:hAnsi="Ping LCG Regular" w:cs="Arial"/>
          <w:spacing w:val="-14"/>
          <w:sz w:val="22"/>
          <w:szCs w:val="22"/>
          <w:lang w:val="el-GR"/>
        </w:rPr>
        <w:t xml:space="preserve">Η ΔΕΗ δεν αναλαμβάνει καμία υποχρέωση να δημοσιοποιήσει τυχόν αναθεωρήσεις αυτών των δηλώσεων ώστε να αντικατοπτρίζουν γεγονότα ή περιστάσεις μετά την ημερομηνία της παρούσας ανακοίνωσης.  </w:t>
      </w:r>
    </w:p>
    <w:p w14:paraId="2A693AF3" w14:textId="77777777" w:rsidR="00454FD8" w:rsidRDefault="00454FD8">
      <w:pPr>
        <w:rPr>
          <w:rFonts w:ascii="Ping LCG Regular" w:hAnsi="Ping LCG Regular" w:cs="Arial"/>
          <w:b/>
          <w:bCs/>
          <w:color w:val="000000"/>
          <w:lang w:val="el-GR"/>
        </w:rPr>
      </w:pPr>
    </w:p>
    <w:p w14:paraId="4B31BFC3" w14:textId="77777777" w:rsidR="009F2A80" w:rsidRDefault="009F2A80">
      <w:pPr>
        <w:rPr>
          <w:rFonts w:ascii="Ping LCG Regular" w:hAnsi="Ping LCG Regular" w:cs="Arial"/>
          <w:b/>
          <w:bCs/>
          <w:color w:val="000000"/>
          <w:lang w:val="el-GR"/>
        </w:rPr>
      </w:pPr>
    </w:p>
    <w:p w14:paraId="7CB4AB50" w14:textId="77777777" w:rsidR="009F2A80" w:rsidRDefault="009F2A80">
      <w:pPr>
        <w:rPr>
          <w:rFonts w:ascii="Ping LCG Regular" w:hAnsi="Ping LCG Regular" w:cs="Arial"/>
          <w:b/>
          <w:bCs/>
          <w:color w:val="000000"/>
          <w:lang w:val="el-GR"/>
        </w:rPr>
      </w:pPr>
    </w:p>
    <w:p w14:paraId="06F24F90" w14:textId="77777777" w:rsidR="009F2A80" w:rsidRDefault="009F2A80">
      <w:pPr>
        <w:rPr>
          <w:rFonts w:ascii="Ping LCG Regular" w:hAnsi="Ping LCG Regular" w:cs="Arial"/>
          <w:b/>
          <w:bCs/>
          <w:color w:val="000000"/>
          <w:lang w:val="el-GR"/>
        </w:rPr>
      </w:pPr>
    </w:p>
    <w:p w14:paraId="54D61EE9" w14:textId="77777777" w:rsidR="009F2A80" w:rsidRDefault="009F2A80">
      <w:pPr>
        <w:rPr>
          <w:rFonts w:ascii="Ping LCG Regular" w:hAnsi="Ping LCG Regular" w:cs="Arial"/>
          <w:b/>
          <w:bCs/>
          <w:color w:val="000000"/>
          <w:lang w:val="el-GR"/>
        </w:rPr>
      </w:pPr>
    </w:p>
    <w:p w14:paraId="25A6FF48" w14:textId="77777777" w:rsidR="009F2A80" w:rsidRDefault="009F2A80">
      <w:pPr>
        <w:rPr>
          <w:rFonts w:ascii="Ping LCG Regular" w:hAnsi="Ping LCG Regular" w:cs="Arial"/>
          <w:b/>
          <w:bCs/>
          <w:color w:val="000000"/>
          <w:lang w:val="el-GR"/>
        </w:rPr>
      </w:pPr>
    </w:p>
    <w:p w14:paraId="0B744ED4" w14:textId="77777777" w:rsidR="009F2A80" w:rsidRDefault="009F2A80">
      <w:pPr>
        <w:rPr>
          <w:rFonts w:ascii="Ping LCG Regular" w:hAnsi="Ping LCG Regular" w:cs="Arial"/>
          <w:b/>
          <w:bCs/>
          <w:color w:val="000000"/>
          <w:lang w:val="el-GR"/>
        </w:rPr>
      </w:pPr>
    </w:p>
    <w:p w14:paraId="2199EDF9" w14:textId="77777777" w:rsidR="009F2A80" w:rsidRDefault="009F2A80">
      <w:pPr>
        <w:rPr>
          <w:rFonts w:ascii="Ping LCG Regular" w:hAnsi="Ping LCG Regular" w:cs="Arial"/>
          <w:b/>
          <w:bCs/>
          <w:color w:val="000000"/>
          <w:lang w:val="el-GR"/>
        </w:rPr>
      </w:pPr>
    </w:p>
    <w:p w14:paraId="45EEBCF7" w14:textId="77777777" w:rsidR="009F2A80" w:rsidRDefault="009F2A80">
      <w:pPr>
        <w:rPr>
          <w:rFonts w:ascii="Ping LCG Regular" w:hAnsi="Ping LCG Regular" w:cs="Arial"/>
          <w:b/>
          <w:bCs/>
          <w:color w:val="000000"/>
          <w:lang w:val="el-GR"/>
        </w:rPr>
      </w:pPr>
    </w:p>
    <w:p w14:paraId="4F6881ED" w14:textId="77777777" w:rsidR="009F2A80" w:rsidRDefault="009F2A80">
      <w:pPr>
        <w:rPr>
          <w:rFonts w:ascii="Ping LCG Regular" w:hAnsi="Ping LCG Regular" w:cs="Arial"/>
          <w:b/>
          <w:bCs/>
          <w:color w:val="000000"/>
          <w:lang w:val="el-GR"/>
        </w:rPr>
      </w:pPr>
    </w:p>
    <w:p w14:paraId="6B983B4D" w14:textId="77777777" w:rsidR="009F2A80" w:rsidRDefault="009F2A80">
      <w:pPr>
        <w:rPr>
          <w:rFonts w:ascii="Ping LCG Regular" w:hAnsi="Ping LCG Regular" w:cs="Arial"/>
          <w:b/>
          <w:bCs/>
          <w:color w:val="000000"/>
          <w:lang w:val="el-GR"/>
        </w:rPr>
      </w:pPr>
    </w:p>
    <w:p w14:paraId="794D1393" w14:textId="77777777" w:rsidR="009F2A80" w:rsidRDefault="009F2A80">
      <w:pPr>
        <w:rPr>
          <w:rFonts w:ascii="Ping LCG Regular" w:hAnsi="Ping LCG Regular" w:cs="Arial"/>
          <w:b/>
          <w:bCs/>
          <w:color w:val="000000"/>
          <w:lang w:val="el-GR"/>
        </w:rPr>
      </w:pPr>
    </w:p>
    <w:p w14:paraId="7C9A94CE" w14:textId="77777777" w:rsidR="009F2A80" w:rsidRDefault="009F2A80">
      <w:pPr>
        <w:rPr>
          <w:rFonts w:ascii="Ping LCG Regular" w:hAnsi="Ping LCG Regular" w:cs="Arial"/>
          <w:b/>
          <w:bCs/>
          <w:color w:val="000000"/>
          <w:lang w:val="el-GR"/>
        </w:rPr>
      </w:pPr>
    </w:p>
    <w:p w14:paraId="5F611571" w14:textId="77777777" w:rsidR="009F2A80" w:rsidRDefault="009F2A80">
      <w:pPr>
        <w:rPr>
          <w:rFonts w:ascii="Ping LCG Regular" w:hAnsi="Ping LCG Regular" w:cs="Arial"/>
          <w:b/>
          <w:bCs/>
          <w:color w:val="000000"/>
          <w:lang w:val="el-GR"/>
        </w:rPr>
      </w:pPr>
    </w:p>
    <w:p w14:paraId="1EA41C63" w14:textId="77777777" w:rsidR="009F2A80" w:rsidRDefault="009F2A80">
      <w:pPr>
        <w:rPr>
          <w:rFonts w:ascii="Ping LCG Regular" w:hAnsi="Ping LCG Regular" w:cs="Arial"/>
          <w:b/>
          <w:bCs/>
          <w:color w:val="000000"/>
          <w:lang w:val="el-GR"/>
        </w:rPr>
      </w:pPr>
    </w:p>
    <w:p w14:paraId="799213BA" w14:textId="141B721A" w:rsidR="00CE4BB8" w:rsidRDefault="009F2A80" w:rsidP="00E14B07">
      <w:pPr>
        <w:jc w:val="center"/>
        <w:rPr>
          <w:rFonts w:ascii="Ping LCG Regular" w:hAnsi="Ping LCG Regular" w:cs="Arial"/>
          <w:b/>
          <w:bCs/>
          <w:color w:val="000000"/>
          <w:lang w:val="el-GR"/>
        </w:rPr>
      </w:pPr>
      <w:r>
        <w:rPr>
          <w:rFonts w:ascii="Ping LCG Regular" w:hAnsi="Ping LCG Regular" w:cs="Arial"/>
          <w:b/>
          <w:bCs/>
          <w:color w:val="000000"/>
          <w:lang w:val="el-GR"/>
        </w:rPr>
        <w:t xml:space="preserve">ΠΑΡΑΡΤΗΜΑ </w:t>
      </w:r>
      <w:r w:rsidR="00E922EF">
        <w:rPr>
          <w:rFonts w:ascii="Ping LCG Regular" w:hAnsi="Ping LCG Regular" w:cs="Arial"/>
          <w:b/>
          <w:bCs/>
          <w:color w:val="000000"/>
          <w:lang w:val="el-GR"/>
        </w:rPr>
        <w:t>– ΒΑΣΙΚΑ ΟΙΚΟΝΟΜΙΚΑ ΜΕΓΕΘΗ</w:t>
      </w:r>
    </w:p>
    <w:p w14:paraId="07EB0A84" w14:textId="77777777" w:rsidR="00CE4BB8" w:rsidRDefault="00CE4BB8">
      <w:pPr>
        <w:rPr>
          <w:rFonts w:ascii="Ping LCG Regular" w:hAnsi="Ping LCG Regular" w:cs="Arial"/>
          <w:b/>
          <w:bCs/>
          <w:color w:val="000000"/>
          <w:lang w:val="el-GR"/>
        </w:rPr>
      </w:pPr>
      <w:r>
        <w:rPr>
          <w:rFonts w:ascii="Ping LCG Regular" w:hAnsi="Ping LCG Regular" w:cs="Arial"/>
          <w:b/>
          <w:bCs/>
          <w:color w:val="000000"/>
          <w:lang w:val="el-GR"/>
        </w:rPr>
        <w:br w:type="page"/>
      </w:r>
    </w:p>
    <w:p w14:paraId="443A90E4" w14:textId="13127BD4" w:rsidR="00E922EF" w:rsidRDefault="00E922EF" w:rsidP="00E922EF">
      <w:pPr>
        <w:autoSpaceDE w:val="0"/>
        <w:autoSpaceDN w:val="0"/>
        <w:adjustRightInd w:val="0"/>
        <w:rPr>
          <w:rFonts w:ascii="Ping LCG Regular" w:hAnsi="Ping LCG Regular" w:cs="Arial"/>
          <w:b/>
          <w:bCs/>
          <w:color w:val="000000"/>
          <w:lang w:val="el-GR"/>
        </w:rPr>
      </w:pPr>
      <w:r w:rsidRPr="00FD777D">
        <w:rPr>
          <w:rFonts w:ascii="Ping LCG Regular" w:hAnsi="Ping LCG Regular" w:cs="Arial"/>
          <w:b/>
          <w:bCs/>
          <w:color w:val="000000"/>
          <w:lang w:val="el-GR"/>
        </w:rPr>
        <w:lastRenderedPageBreak/>
        <w:t xml:space="preserve">Βασικά οικονομικά μεγέθη </w:t>
      </w:r>
      <w:r>
        <w:rPr>
          <w:rFonts w:ascii="Ping LCG Regular" w:hAnsi="Ping LCG Regular" w:cs="Arial"/>
          <w:b/>
          <w:bCs/>
          <w:color w:val="000000"/>
          <w:lang w:val="el-GR"/>
        </w:rPr>
        <w:t>Ομίλου</w:t>
      </w:r>
      <w:r w:rsidRPr="00FD777D">
        <w:rPr>
          <w:rFonts w:ascii="Ping LCG Regular" w:hAnsi="Ping LCG Regular" w:cs="Arial"/>
          <w:b/>
          <w:bCs/>
          <w:color w:val="000000"/>
          <w:lang w:val="el-GR"/>
        </w:rPr>
        <w:t xml:space="preserve"> ΔΕΗ </w:t>
      </w:r>
    </w:p>
    <w:p w14:paraId="3856390F" w14:textId="3C554D17" w:rsidR="00CF1A92" w:rsidRDefault="00EA6980">
      <w:pPr>
        <w:spacing w:line="276" w:lineRule="auto"/>
        <w:rPr>
          <w:rFonts w:ascii="Ping LCG Regular" w:hAnsi="Ping LCG Regular" w:cs="Arial"/>
          <w:b/>
          <w:spacing w:val="-14"/>
          <w:szCs w:val="28"/>
          <w:lang w:val="el-GR"/>
        </w:rPr>
      </w:pPr>
      <w:r>
        <w:rPr>
          <w:rFonts w:ascii="Ping LCG Regular" w:hAnsi="Ping LCG Regular" w:cs="Arial"/>
          <w:b/>
          <w:spacing w:val="-14"/>
          <w:szCs w:val="28"/>
          <w:lang w:val="el-GR"/>
        </w:rPr>
        <w:pict w14:anchorId="5EE96F07">
          <v:shape id="_x0000_i1026" type="#_x0000_t75" style="width:522.6pt;height:345pt">
            <v:imagedata r:id="rId12" o:title=""/>
          </v:shape>
        </w:pict>
      </w:r>
    </w:p>
    <w:p w14:paraId="43913ACC" w14:textId="0FEDBC50" w:rsidR="00C149D6" w:rsidRDefault="00C149D6" w:rsidP="00E14B07">
      <w:pPr>
        <w:autoSpaceDE w:val="0"/>
        <w:autoSpaceDN w:val="0"/>
        <w:adjustRightInd w:val="0"/>
        <w:rPr>
          <w:rFonts w:ascii="Ping LCG Regular" w:hAnsi="Ping LCG Regular" w:cs="Arial"/>
          <w:b/>
          <w:bCs/>
          <w:color w:val="000000"/>
          <w:lang w:val="el-GR"/>
        </w:rPr>
      </w:pPr>
    </w:p>
    <w:p w14:paraId="0C5A8C88" w14:textId="77777777" w:rsidR="00B65E27" w:rsidRDefault="00B65E27">
      <w:pPr>
        <w:rPr>
          <w:rFonts w:ascii="Ping LCG Regular" w:hAnsi="Ping LCG Regular" w:cs="Arial"/>
          <w:b/>
          <w:bCs/>
          <w:color w:val="000000"/>
          <w:lang w:val="el-GR"/>
        </w:rPr>
      </w:pPr>
      <w:r>
        <w:rPr>
          <w:rFonts w:ascii="Ping LCG Regular" w:hAnsi="Ping LCG Regular" w:cs="Arial"/>
          <w:b/>
          <w:bCs/>
          <w:color w:val="000000"/>
          <w:lang w:val="el-GR"/>
        </w:rPr>
        <w:br w:type="page"/>
      </w:r>
    </w:p>
    <w:p w14:paraId="08CDE7E5" w14:textId="77777777" w:rsidR="00B65E27" w:rsidRPr="00FD777D" w:rsidRDefault="00B65E27" w:rsidP="00B65E27">
      <w:pPr>
        <w:rPr>
          <w:rFonts w:ascii="Ping LCG Regular" w:hAnsi="Ping LCG Regular" w:cs="Arial"/>
          <w:b/>
          <w:bCs/>
          <w:color w:val="000000"/>
          <w:lang w:val="el-GR"/>
        </w:rPr>
      </w:pPr>
      <w:r w:rsidRPr="00FD777D">
        <w:rPr>
          <w:rFonts w:ascii="Ping LCG Regular" w:hAnsi="Ping LCG Regular" w:cs="Arial"/>
          <w:b/>
          <w:bCs/>
          <w:color w:val="000000"/>
          <w:lang w:val="el-GR"/>
        </w:rPr>
        <w:lastRenderedPageBreak/>
        <w:t>Αναλυτικά Οικονομικά Αποτελέσματα Ομίλου</w:t>
      </w:r>
    </w:p>
    <w:p w14:paraId="5E45EF4A" w14:textId="070DAECF" w:rsidR="00B65E27" w:rsidRPr="00FD777D" w:rsidRDefault="00EA6980" w:rsidP="00B65E27">
      <w:pPr>
        <w:rPr>
          <w:rFonts w:ascii="Ping LCG Regular" w:hAnsi="Ping LCG Regular" w:cs="Arial"/>
          <w:b/>
          <w:noProof/>
          <w:spacing w:val="-14"/>
          <w:lang w:val="el-GR"/>
        </w:rPr>
      </w:pPr>
      <w:r>
        <w:rPr>
          <w:rFonts w:ascii="Ping LCG Regular" w:hAnsi="Ping LCG Regular" w:cs="Arial"/>
          <w:b/>
          <w:noProof/>
          <w:spacing w:val="-14"/>
          <w:lang w:val="el-GR"/>
        </w:rPr>
        <w:pict w14:anchorId="49E5918D">
          <v:shape id="_x0000_i1027" type="#_x0000_t75" style="width:519.6pt;height:479.4pt">
            <v:imagedata r:id="rId13" o:title=""/>
          </v:shape>
        </w:pict>
      </w:r>
    </w:p>
    <w:p w14:paraId="3BF9E571" w14:textId="56A0F194" w:rsidR="00B65E27" w:rsidRDefault="00EA6980" w:rsidP="00B65E27">
      <w:pPr>
        <w:tabs>
          <w:tab w:val="left" w:pos="8789"/>
        </w:tabs>
        <w:rPr>
          <w:rFonts w:ascii="Ping LCG Regular" w:hAnsi="Ping LCG Regular" w:cs="Arial"/>
          <w:b/>
          <w:noProof/>
          <w:spacing w:val="-14"/>
          <w:lang w:val="el-GR"/>
        </w:rPr>
      </w:pPr>
      <w:r>
        <w:rPr>
          <w:rFonts w:ascii="Ping LCG Regular" w:hAnsi="Ping LCG Regular" w:cs="Arial"/>
          <w:b/>
          <w:noProof/>
          <w:spacing w:val="-14"/>
          <w:lang w:val="el-GR"/>
        </w:rPr>
        <w:lastRenderedPageBreak/>
        <w:pict w14:anchorId="29EBD040">
          <v:shape id="_x0000_i1028" type="#_x0000_t75" style="width:520.8pt;height:494.4pt">
            <v:imagedata r:id="rId14" o:title=""/>
          </v:shape>
        </w:pict>
      </w:r>
    </w:p>
    <w:p w14:paraId="7628629A" w14:textId="77777777" w:rsidR="006B7FB7" w:rsidRDefault="006B7FB7" w:rsidP="00B65E27">
      <w:pPr>
        <w:ind w:right="112"/>
        <w:jc w:val="both"/>
        <w:rPr>
          <w:rFonts w:ascii="Ping LCG Regular" w:hAnsi="Ping LCG Regular" w:cs="Arial"/>
          <w:iCs/>
          <w:spacing w:val="-14"/>
          <w:sz w:val="20"/>
          <w:szCs w:val="32"/>
          <w:lang w:val="el-GR"/>
        </w:rPr>
      </w:pPr>
    </w:p>
    <w:p w14:paraId="6C969188" w14:textId="287D9E23" w:rsidR="00B65E27" w:rsidRPr="008D1131" w:rsidRDefault="00B65E27" w:rsidP="00B65E27">
      <w:pPr>
        <w:ind w:right="112"/>
        <w:jc w:val="both"/>
        <w:rPr>
          <w:sz w:val="22"/>
          <w:szCs w:val="22"/>
          <w:lang w:val="el-GR"/>
        </w:rPr>
      </w:pPr>
      <w:r w:rsidRPr="002A450B">
        <w:rPr>
          <w:rFonts w:ascii="Ping LCG Regular" w:hAnsi="Ping LCG Regular" w:cs="Arial"/>
          <w:iCs/>
          <w:spacing w:val="-14"/>
          <w:sz w:val="20"/>
          <w:szCs w:val="32"/>
          <w:lang w:val="el-GR"/>
        </w:rPr>
        <w:t xml:space="preserve">Για περισσότερες πληροφορίες σχετικά με τους ορισμούς δεικτών που περιλαμβάνονται στα παραπάνω μεγέθη, μπορείτε να ανατρέξετε στην Ετήσια Οικονομική Έκθεση 2021 (Παράρτημα: Ορισμοί και συμφωνία των Εναλλακτικών Δεικτών Μέτρησης Απόδοσης - “ΕΔΜΑ”). </w:t>
      </w:r>
    </w:p>
    <w:p w14:paraId="66303E64" w14:textId="7956A73B" w:rsidR="00C45DF9" w:rsidRDefault="00C45DF9">
      <w:pPr>
        <w:rPr>
          <w:rFonts w:ascii="Ping LCG Regular" w:hAnsi="Ping LCG Regular" w:cs="Arial"/>
          <w:b/>
          <w:bCs/>
          <w:color w:val="000000"/>
          <w:lang w:val="el-GR"/>
        </w:rPr>
      </w:pPr>
      <w:r>
        <w:rPr>
          <w:rFonts w:ascii="Ping LCG Regular" w:hAnsi="Ping LCG Regular" w:cs="Arial"/>
          <w:b/>
          <w:bCs/>
          <w:color w:val="000000"/>
          <w:lang w:val="el-GR"/>
        </w:rPr>
        <w:br w:type="page"/>
      </w:r>
    </w:p>
    <w:p w14:paraId="3FB9838F" w14:textId="3D8B9893" w:rsidR="0016066F" w:rsidRDefault="0016066F" w:rsidP="0016066F">
      <w:pPr>
        <w:autoSpaceDE w:val="0"/>
        <w:autoSpaceDN w:val="0"/>
        <w:adjustRightInd w:val="0"/>
        <w:rPr>
          <w:rFonts w:ascii="Ping LCG Regular" w:hAnsi="Ping LCG Regular" w:cs="Arial"/>
          <w:b/>
          <w:bCs/>
          <w:color w:val="000000"/>
          <w:lang w:val="el-GR"/>
        </w:rPr>
      </w:pPr>
      <w:r w:rsidRPr="0044404F">
        <w:rPr>
          <w:rFonts w:ascii="Ping LCG Regular" w:hAnsi="Ping LCG Regular" w:cs="Arial"/>
          <w:b/>
          <w:bCs/>
          <w:color w:val="000000"/>
          <w:lang w:val="el-GR"/>
        </w:rPr>
        <w:lastRenderedPageBreak/>
        <w:t>Βασικά οικονομικά μεγέθη Μητρικής ΔΕΗ Α.Ε.</w:t>
      </w:r>
      <w:r w:rsidRPr="00FD777D">
        <w:rPr>
          <w:rFonts w:ascii="Ping LCG Regular" w:hAnsi="Ping LCG Regular" w:cs="Arial"/>
          <w:b/>
          <w:bCs/>
          <w:color w:val="000000"/>
          <w:lang w:val="el-GR"/>
        </w:rPr>
        <w:t xml:space="preserve"> </w:t>
      </w:r>
    </w:p>
    <w:p w14:paraId="4AF8EA67" w14:textId="046B0DBB" w:rsidR="0016066F" w:rsidRPr="00E14B07" w:rsidRDefault="00EA6980" w:rsidP="0016066F">
      <w:pPr>
        <w:autoSpaceDE w:val="0"/>
        <w:autoSpaceDN w:val="0"/>
        <w:adjustRightInd w:val="0"/>
        <w:rPr>
          <w:rFonts w:ascii="Ping LCG Regular" w:hAnsi="Ping LCG Regular" w:cs="Arial"/>
          <w:noProof/>
          <w:color w:val="000000"/>
          <w:sz w:val="23"/>
          <w:szCs w:val="23"/>
          <w:lang w:val="el-GR"/>
        </w:rPr>
      </w:pPr>
      <w:r>
        <w:rPr>
          <w:rFonts w:ascii="Ping LCG Regular" w:hAnsi="Ping LCG Regular" w:cs="Arial"/>
          <w:b/>
          <w:bCs/>
          <w:color w:val="000000"/>
          <w:lang w:val="el-GR"/>
        </w:rPr>
        <w:pict w14:anchorId="484E71A8">
          <v:shape id="_x0000_i1029" type="#_x0000_t75" style="width:521.4pt;height:641.4pt">
            <v:imagedata r:id="rId15" o:title=""/>
          </v:shape>
        </w:pict>
      </w:r>
    </w:p>
    <w:p w14:paraId="1DFFA068" w14:textId="20DB44E8" w:rsidR="00CD036E" w:rsidRDefault="00CD036E">
      <w:pPr>
        <w:rPr>
          <w:rFonts w:ascii="Ping LCG Regular" w:hAnsi="Ping LCG Regular" w:cs="Arial"/>
          <w:noProof/>
          <w:color w:val="000000"/>
          <w:sz w:val="23"/>
          <w:szCs w:val="23"/>
          <w:lang w:val="el-GR"/>
        </w:rPr>
      </w:pPr>
      <w:r>
        <w:rPr>
          <w:rFonts w:ascii="Ping LCG Regular" w:hAnsi="Ping LCG Regular" w:cs="Arial"/>
          <w:noProof/>
          <w:color w:val="000000"/>
          <w:sz w:val="23"/>
          <w:szCs w:val="23"/>
          <w:lang w:val="el-GR"/>
        </w:rPr>
        <w:br w:type="page"/>
      </w:r>
    </w:p>
    <w:p w14:paraId="52C9F4F9" w14:textId="77777777" w:rsidR="0016066F" w:rsidRPr="00CA47AF" w:rsidRDefault="0016066F" w:rsidP="00445582">
      <w:pPr>
        <w:rPr>
          <w:rFonts w:ascii="Ping LCG Regular" w:hAnsi="Ping LCG Regular" w:cs="Arial"/>
          <w:lang w:val="el-GR"/>
        </w:rPr>
      </w:pPr>
      <w:r w:rsidRPr="00CA47AF">
        <w:rPr>
          <w:rFonts w:ascii="Ping LCG Regular" w:hAnsi="Ping LCG Regular" w:cs="Arial"/>
          <w:b/>
          <w:bCs/>
          <w:lang w:val="el-GR"/>
        </w:rPr>
        <w:lastRenderedPageBreak/>
        <w:t xml:space="preserve">Βασικά οικονομικά μεγέθη ΔΕΔΔΗΕ Α.Ε. </w:t>
      </w:r>
    </w:p>
    <w:p w14:paraId="28C7DDCF" w14:textId="77777777" w:rsidR="0016066F" w:rsidRPr="00CA47AF" w:rsidRDefault="0016066F" w:rsidP="0016066F">
      <w:pPr>
        <w:autoSpaceDE w:val="0"/>
        <w:autoSpaceDN w:val="0"/>
        <w:adjustRightInd w:val="0"/>
        <w:rPr>
          <w:rFonts w:ascii="Ping LCG Regular" w:hAnsi="Ping LCG Regular" w:cs="Arial"/>
          <w:lang w:val="el-GR"/>
        </w:rPr>
      </w:pPr>
      <w:r w:rsidRPr="00CA47AF">
        <w:rPr>
          <w:rFonts w:ascii="Ping LCG Regular" w:hAnsi="Ping LCG Regular" w:cs="Arial"/>
          <w:b/>
          <w:bCs/>
          <w:lang w:val="el-GR"/>
        </w:rPr>
        <w:t xml:space="preserve">(Διαχειριστής του Ελληνικού Δικτύου Διανομής Ηλεκτρικής Ενέργειας) </w:t>
      </w:r>
    </w:p>
    <w:p w14:paraId="5E953836" w14:textId="2DEF735D" w:rsidR="00CA47AF" w:rsidRPr="00CA47AF" w:rsidRDefault="00EA6980" w:rsidP="0016066F">
      <w:pPr>
        <w:autoSpaceDE w:val="0"/>
        <w:autoSpaceDN w:val="0"/>
        <w:adjustRightInd w:val="0"/>
        <w:rPr>
          <w:rFonts w:ascii="Ping LCG Regular" w:hAnsi="Ping LCG Regular" w:cs="Arial"/>
          <w:sz w:val="23"/>
          <w:szCs w:val="23"/>
          <w:lang w:val="el-GR"/>
        </w:rPr>
      </w:pPr>
      <w:r>
        <w:rPr>
          <w:rFonts w:ascii="Ping LCG Regular" w:hAnsi="Ping LCG Regular" w:cs="Arial"/>
          <w:noProof/>
          <w:sz w:val="23"/>
          <w:szCs w:val="23"/>
          <w:lang w:val="el-GR"/>
        </w:rPr>
        <w:pict w14:anchorId="7FD1C7EB">
          <v:shape id="_x0000_i1030" type="#_x0000_t75" style="width:478.2pt;height:267pt">
            <v:imagedata r:id="rId16" o:title=""/>
          </v:shape>
        </w:pict>
      </w:r>
    </w:p>
    <w:p w14:paraId="6FA741E9" w14:textId="77777777" w:rsidR="0016066F" w:rsidRPr="00CA47AF" w:rsidRDefault="0016066F" w:rsidP="0016066F">
      <w:pPr>
        <w:autoSpaceDE w:val="0"/>
        <w:autoSpaceDN w:val="0"/>
        <w:adjustRightInd w:val="0"/>
        <w:rPr>
          <w:rFonts w:ascii="Ping LCG Regular" w:hAnsi="Ping LCG Regular" w:cs="Arial"/>
          <w:lang w:val="el-GR"/>
        </w:rPr>
      </w:pPr>
    </w:p>
    <w:p w14:paraId="3B027434" w14:textId="77777777" w:rsidR="0016066F" w:rsidRPr="00CA47AF" w:rsidRDefault="0016066F" w:rsidP="0016066F">
      <w:pPr>
        <w:autoSpaceDE w:val="0"/>
        <w:autoSpaceDN w:val="0"/>
        <w:adjustRightInd w:val="0"/>
        <w:rPr>
          <w:rFonts w:ascii="Ping LCG Regular" w:hAnsi="Ping LCG Regular" w:cs="Arial"/>
          <w:lang w:val="el-GR"/>
        </w:rPr>
      </w:pPr>
      <w:r w:rsidRPr="00CA47AF">
        <w:rPr>
          <w:rFonts w:ascii="Ping LCG Regular" w:hAnsi="Ping LCG Regular" w:cs="Arial"/>
          <w:b/>
          <w:bCs/>
          <w:lang w:val="el-GR"/>
        </w:rPr>
        <w:t xml:space="preserve">Βασικά οικονομικά μεγέθη ΔΕΗ ΑΝΑΝΕΩΣΙΜΕΣ Α.Ε. </w:t>
      </w:r>
    </w:p>
    <w:p w14:paraId="4745471E" w14:textId="4F91F51A" w:rsidR="00CA47AF" w:rsidRPr="00CA47AF" w:rsidRDefault="00EA6980" w:rsidP="0016066F">
      <w:pPr>
        <w:autoSpaceDE w:val="0"/>
        <w:autoSpaceDN w:val="0"/>
        <w:adjustRightInd w:val="0"/>
        <w:rPr>
          <w:rFonts w:ascii="Ping LCG Regular" w:hAnsi="Ping LCG Regular" w:cs="Arial"/>
          <w:sz w:val="23"/>
          <w:szCs w:val="23"/>
          <w:lang w:val="el-GR"/>
        </w:rPr>
      </w:pPr>
      <w:r>
        <w:rPr>
          <w:rFonts w:ascii="Ping LCG Regular" w:hAnsi="Ping LCG Regular" w:cs="Arial"/>
          <w:noProof/>
          <w:sz w:val="23"/>
          <w:szCs w:val="23"/>
          <w:lang w:val="el-GR"/>
        </w:rPr>
        <w:pict w14:anchorId="68A2FB5C">
          <v:shape id="_x0000_i1031" type="#_x0000_t75" style="width:478.2pt;height:261.6pt">
            <v:imagedata r:id="rId17" o:title=""/>
          </v:shape>
        </w:pict>
      </w:r>
    </w:p>
    <w:p w14:paraId="30809767" w14:textId="7D4B527F" w:rsidR="0016066F" w:rsidRPr="00CA47AF" w:rsidRDefault="0016066F" w:rsidP="0016066F">
      <w:pPr>
        <w:autoSpaceDE w:val="0"/>
        <w:autoSpaceDN w:val="0"/>
        <w:adjustRightInd w:val="0"/>
        <w:rPr>
          <w:rFonts w:ascii="Ping LCG Regular" w:hAnsi="Ping LCG Regular" w:cs="Arial"/>
          <w:lang w:val="el-GR"/>
        </w:rPr>
      </w:pPr>
    </w:p>
    <w:p w14:paraId="08C516D5" w14:textId="77777777" w:rsidR="00B4062F" w:rsidRDefault="00B4062F">
      <w:pPr>
        <w:rPr>
          <w:rFonts w:ascii="Ping LCG Regular" w:hAnsi="Ping LCG Regular" w:cs="Arial"/>
          <w:b/>
          <w:bCs/>
          <w:lang w:val="el-GR"/>
        </w:rPr>
      </w:pPr>
      <w:r>
        <w:rPr>
          <w:rFonts w:ascii="Ping LCG Regular" w:hAnsi="Ping LCG Regular" w:cs="Arial"/>
          <w:b/>
          <w:bCs/>
          <w:lang w:val="el-GR"/>
        </w:rPr>
        <w:br w:type="page"/>
      </w:r>
    </w:p>
    <w:p w14:paraId="533A99F1" w14:textId="77777777" w:rsidR="0016066F" w:rsidRPr="00CA47AF" w:rsidRDefault="0016066F" w:rsidP="0016066F">
      <w:pPr>
        <w:autoSpaceDE w:val="0"/>
        <w:autoSpaceDN w:val="0"/>
        <w:adjustRightInd w:val="0"/>
        <w:rPr>
          <w:rFonts w:ascii="Ping LCG Regular" w:hAnsi="Ping LCG Regular" w:cs="Arial"/>
          <w:lang w:val="el-GR"/>
        </w:rPr>
      </w:pPr>
      <w:r w:rsidRPr="00CA47AF">
        <w:rPr>
          <w:rFonts w:ascii="Ping LCG Regular" w:hAnsi="Ping LCG Regular" w:cs="Arial"/>
          <w:b/>
          <w:bCs/>
          <w:lang w:val="el-GR"/>
        </w:rPr>
        <w:lastRenderedPageBreak/>
        <w:t xml:space="preserve">Βασικά οικονομικά μεγέθη ΛΙΓΝΙΤΙΚΗ ΜΕΛΙΤΗΣ Α.Ε. </w:t>
      </w:r>
    </w:p>
    <w:p w14:paraId="1BB94368" w14:textId="4BA28645" w:rsidR="00CA47AF" w:rsidRPr="00CA47AF" w:rsidRDefault="00EA6980" w:rsidP="0016066F">
      <w:pPr>
        <w:rPr>
          <w:rFonts w:ascii="Ping LCG Regular" w:hAnsi="Ping LCG Regular" w:cs="Arial"/>
          <w:sz w:val="23"/>
          <w:szCs w:val="23"/>
          <w:lang w:val="el-GR"/>
        </w:rPr>
      </w:pPr>
      <w:r>
        <w:rPr>
          <w:rFonts w:ascii="Ping LCG Regular" w:hAnsi="Ping LCG Regular" w:cs="Arial"/>
          <w:noProof/>
          <w:sz w:val="23"/>
          <w:szCs w:val="23"/>
          <w:lang w:val="el-GR"/>
        </w:rPr>
        <w:pict w14:anchorId="50D6630B">
          <v:shape id="_x0000_i1032" type="#_x0000_t75" style="width:478.2pt;height:261.6pt">
            <v:imagedata r:id="rId18" o:title=""/>
          </v:shape>
        </w:pict>
      </w:r>
    </w:p>
    <w:p w14:paraId="6C1B0ECF" w14:textId="77777777" w:rsidR="007E0B15" w:rsidRPr="00CA47AF" w:rsidRDefault="007E0B15" w:rsidP="0016066F">
      <w:pPr>
        <w:rPr>
          <w:rFonts w:ascii="Ping LCG Regular" w:hAnsi="Ping LCG Regular" w:cs="Arial"/>
          <w:sz w:val="23"/>
          <w:szCs w:val="23"/>
          <w:lang w:val="el-GR"/>
        </w:rPr>
      </w:pPr>
    </w:p>
    <w:p w14:paraId="511E0FE5" w14:textId="77777777" w:rsidR="0016066F" w:rsidRPr="00CA47AF" w:rsidRDefault="0016066F" w:rsidP="0016066F">
      <w:pPr>
        <w:rPr>
          <w:rFonts w:ascii="Ping LCG Regular" w:hAnsi="Ping LCG Regular" w:cs="Arial"/>
          <w:b/>
          <w:bCs/>
          <w:color w:val="000000"/>
          <w:lang w:val="el-GR"/>
        </w:rPr>
      </w:pPr>
      <w:r w:rsidRPr="00CA47AF">
        <w:rPr>
          <w:rFonts w:ascii="Ping LCG Regular" w:hAnsi="Ping LCG Regular" w:cs="Arial"/>
          <w:b/>
          <w:bCs/>
          <w:color w:val="000000"/>
          <w:lang w:val="el-GR"/>
        </w:rPr>
        <w:t xml:space="preserve">Βασικά οικονομικά μεγέθη ΛΙΓΝΙΤΙΚΗ ΜΕΓΑΛΟΠΟΛΗΣ Α.Ε. </w:t>
      </w:r>
    </w:p>
    <w:p w14:paraId="46FC49ED" w14:textId="5143F5D2" w:rsidR="003A59DA" w:rsidRPr="008D1131" w:rsidRDefault="00EA6980" w:rsidP="00445582">
      <w:pPr>
        <w:rPr>
          <w:sz w:val="22"/>
          <w:szCs w:val="22"/>
          <w:lang w:val="el-GR"/>
        </w:rPr>
      </w:pPr>
      <w:r>
        <w:rPr>
          <w:rFonts w:ascii="Ping LCG Regular" w:hAnsi="Ping LCG Regular" w:cs="Arial"/>
          <w:bCs/>
          <w:noProof/>
          <w:spacing w:val="-14"/>
          <w:lang w:val="el-GR"/>
        </w:rPr>
        <w:pict w14:anchorId="2EC4DC4B">
          <v:shape id="_x0000_i1033" type="#_x0000_t75" style="width:477.6pt;height:292.8pt">
            <v:imagedata r:id="rId19" o:title=""/>
          </v:shape>
        </w:pict>
      </w:r>
    </w:p>
    <w:sectPr w:rsidR="003A59DA" w:rsidRPr="008D1131" w:rsidSect="006B1EF6">
      <w:headerReference w:type="default" r:id="rId20"/>
      <w:footerReference w:type="default" r:id="rId21"/>
      <w:pgSz w:w="11900" w:h="16840"/>
      <w:pgMar w:top="720" w:right="720" w:bottom="720" w:left="720" w:header="98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BAB6" w14:textId="77777777" w:rsidR="00244DFE" w:rsidRDefault="00244DFE" w:rsidP="000E10BE">
      <w:r>
        <w:separator/>
      </w:r>
    </w:p>
  </w:endnote>
  <w:endnote w:type="continuationSeparator" w:id="0">
    <w:p w14:paraId="3F514AD0" w14:textId="77777777" w:rsidR="00244DFE" w:rsidRDefault="00244DFE" w:rsidP="000E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ing LCG">
    <w:altName w:val="Calibri"/>
    <w:panose1 w:val="00000000000000000000"/>
    <w:charset w:val="00"/>
    <w:family w:val="auto"/>
    <w:notTrueType/>
    <w:pitch w:val="variable"/>
    <w:sig w:usb0="E00002FF" w:usb1="5001E47B"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Ping LCG Regular">
    <w:altName w:val="Calibri"/>
    <w:panose1 w:val="00000000000000000000"/>
    <w:charset w:val="00"/>
    <w:family w:val="modern"/>
    <w:notTrueType/>
    <w:pitch w:val="variable"/>
    <w:sig w:usb0="E00002FF" w:usb1="5001E47B" w:usb2="00000000" w:usb3="00000000" w:csb0="0000019F" w:csb1="00000000"/>
  </w:font>
  <w:font w:name="Ping LCG Bold">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l-GR"/>
      </w:rPr>
      <w:id w:val="360316571"/>
      <w:docPartObj>
        <w:docPartGallery w:val="Page Numbers (Bottom of Page)"/>
        <w:docPartUnique/>
      </w:docPartObj>
    </w:sdtPr>
    <w:sdtEndPr/>
    <w:sdtContent>
      <w:p w14:paraId="14BCB474" w14:textId="5153D000" w:rsidR="007F675C" w:rsidRDefault="007F675C">
        <w:pPr>
          <w:pStyle w:val="af"/>
          <w:jc w:val="center"/>
        </w:pPr>
        <w:r>
          <w:rPr>
            <w:lang w:val="el-GR"/>
          </w:rPr>
          <w:t>[</w:t>
        </w:r>
        <w:r>
          <w:fldChar w:fldCharType="begin"/>
        </w:r>
        <w:r>
          <w:instrText>PAGE   \* MERGEFORMAT</w:instrText>
        </w:r>
        <w:r>
          <w:fldChar w:fldCharType="separate"/>
        </w:r>
        <w:r>
          <w:rPr>
            <w:lang w:val="el-GR"/>
          </w:rPr>
          <w:t>2</w:t>
        </w:r>
        <w:r>
          <w:fldChar w:fldCharType="end"/>
        </w:r>
        <w:r>
          <w:rPr>
            <w:lang w:val="el-GR"/>
          </w:rPr>
          <w:t>]</w:t>
        </w:r>
      </w:p>
    </w:sdtContent>
  </w:sdt>
  <w:p w14:paraId="250A1140" w14:textId="77777777" w:rsidR="007F675C" w:rsidRDefault="007F675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4CF4" w14:textId="77777777" w:rsidR="00244DFE" w:rsidRDefault="00244DFE" w:rsidP="000E10BE">
      <w:r>
        <w:separator/>
      </w:r>
    </w:p>
  </w:footnote>
  <w:footnote w:type="continuationSeparator" w:id="0">
    <w:p w14:paraId="2295E89C" w14:textId="77777777" w:rsidR="00244DFE" w:rsidRDefault="00244DFE" w:rsidP="000E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3DFD" w14:textId="78480853" w:rsidR="007F675C" w:rsidRPr="00EA6980" w:rsidRDefault="007F675C">
    <w:pPr>
      <w:pStyle w:val="ae"/>
      <w:rPr>
        <w:rFonts w:ascii="Ping LCG Regular" w:hAnsi="Ping LCG Regular"/>
        <w:sz w:val="20"/>
        <w:szCs w:val="20"/>
      </w:rPr>
    </w:pPr>
    <w:r w:rsidRPr="00EA6980">
      <w:rPr>
        <w:rFonts w:ascii="Ping LCG Regular" w:hAnsi="Ping LCG Regular"/>
        <w:noProof/>
        <w:sz w:val="18"/>
        <w:szCs w:val="18"/>
      </w:rPr>
      <w:drawing>
        <wp:anchor distT="0" distB="0" distL="114300" distR="114300" simplePos="0" relativeHeight="251661312" behindDoc="1" locked="0" layoutInCell="1" allowOverlap="1" wp14:anchorId="06631F23" wp14:editId="425013DF">
          <wp:simplePos x="0" y="0"/>
          <wp:positionH relativeFrom="page">
            <wp:posOffset>5591175</wp:posOffset>
          </wp:positionH>
          <wp:positionV relativeFrom="page">
            <wp:posOffset>-74295</wp:posOffset>
          </wp:positionV>
          <wp:extent cx="1609200" cy="1609200"/>
          <wp:effectExtent l="0" t="0" r="0" b="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EI_Logo_RGB-with-safe-area.png"/>
                  <pic:cNvPicPr/>
                </pic:nvPicPr>
                <pic:blipFill>
                  <a:blip r:embed="rId1">
                    <a:extLst>
                      <a:ext uri="{28A0092B-C50C-407E-A947-70E740481C1C}">
                        <a14:useLocalDpi xmlns:a14="http://schemas.microsoft.com/office/drawing/2010/main" val="0"/>
                      </a:ext>
                    </a:extLst>
                  </a:blip>
                  <a:stretch>
                    <a:fillRect/>
                  </a:stretch>
                </pic:blipFill>
                <pic:spPr>
                  <a:xfrm>
                    <a:off x="0" y="0"/>
                    <a:ext cx="1609200" cy="1609200"/>
                  </a:xfrm>
                  <a:prstGeom prst="rect">
                    <a:avLst/>
                  </a:prstGeom>
                </pic:spPr>
              </pic:pic>
            </a:graphicData>
          </a:graphic>
          <wp14:sizeRelH relativeFrom="page">
            <wp14:pctWidth>0</wp14:pctWidth>
          </wp14:sizeRelH>
          <wp14:sizeRelV relativeFrom="page">
            <wp14:pctHeight>0</wp14:pctHeight>
          </wp14:sizeRelV>
        </wp:anchor>
      </w:drawing>
    </w:r>
    <w:r w:rsidRPr="00EA6980">
      <w:rPr>
        <w:rFonts w:ascii="Ping LCG Regular" w:hAnsi="Ping LCG Regular"/>
        <w:sz w:val="20"/>
        <w:szCs w:val="20"/>
      </w:rPr>
      <w:t xml:space="preserve">Διεύθυνση </w:t>
    </w:r>
    <w:r w:rsidRPr="00EA6980">
      <w:rPr>
        <w:rFonts w:ascii="Ping LCG Regular" w:hAnsi="Ping LCG Regular"/>
        <w:sz w:val="20"/>
        <w:szCs w:val="20"/>
      </w:rPr>
      <w:br/>
      <w:t xml:space="preserve">Επενδυτικών </w:t>
    </w:r>
    <w:r w:rsidRPr="00EA6980">
      <w:rPr>
        <w:rFonts w:ascii="Ping LCG Regular" w:hAnsi="Ping LCG Regular"/>
        <w:sz w:val="20"/>
        <w:szCs w:val="20"/>
      </w:rPr>
      <w:br/>
      <w:t>Σχέσεων</w:t>
    </w:r>
  </w:p>
  <w:p w14:paraId="03EE564A" w14:textId="13C504A5" w:rsidR="007F675C" w:rsidRPr="00BB4345" w:rsidRDefault="007F675C">
    <w:pPr>
      <w:pStyle w:val="ae"/>
      <w:rPr>
        <w:sz w:val="18"/>
        <w:szCs w:val="18"/>
      </w:rPr>
    </w:pPr>
  </w:p>
  <w:p w14:paraId="008678F8" w14:textId="78168467" w:rsidR="007F675C" w:rsidRDefault="007F675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2B8"/>
    <w:multiLevelType w:val="hybridMultilevel"/>
    <w:tmpl w:val="14A0C014"/>
    <w:lvl w:ilvl="0" w:tplc="00000001">
      <w:numFmt w:val="bullet"/>
      <w:lvlText w:val="-"/>
      <w:lvlJc w:val="left"/>
      <w:pPr>
        <w:ind w:left="360" w:hanging="360"/>
      </w:pPr>
      <w:rPr>
        <w:rFonts w:ascii="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8B21C7"/>
    <w:multiLevelType w:val="hybridMultilevel"/>
    <w:tmpl w:val="00E81F68"/>
    <w:lvl w:ilvl="0" w:tplc="00000001">
      <w:numFmt w:val="bullet"/>
      <w:lvlText w:val="-"/>
      <w:lvlJc w:val="left"/>
      <w:pPr>
        <w:ind w:left="540" w:hanging="360"/>
      </w:pPr>
      <w:rPr>
        <w:rFonts w:ascii="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BDC29CE"/>
    <w:multiLevelType w:val="hybridMultilevel"/>
    <w:tmpl w:val="D8A4A3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5D7ADD"/>
    <w:multiLevelType w:val="hybridMultilevel"/>
    <w:tmpl w:val="757A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AF6C19"/>
    <w:multiLevelType w:val="hybridMultilevel"/>
    <w:tmpl w:val="9B48944C"/>
    <w:lvl w:ilvl="0" w:tplc="CB68E564">
      <w:numFmt w:val="bullet"/>
      <w:lvlText w:val="-"/>
      <w:lvlJc w:val="left"/>
      <w:pPr>
        <w:ind w:left="731" w:hanging="360"/>
      </w:pPr>
      <w:rPr>
        <w:rFonts w:ascii="Arial" w:eastAsia="Times New Roman" w:hAnsi="Arial" w:cs="Arial" w:hint="default"/>
      </w:rPr>
    </w:lvl>
    <w:lvl w:ilvl="1" w:tplc="04080003" w:tentative="1">
      <w:start w:val="1"/>
      <w:numFmt w:val="bullet"/>
      <w:lvlText w:val="o"/>
      <w:lvlJc w:val="left"/>
      <w:pPr>
        <w:ind w:left="1451" w:hanging="360"/>
      </w:pPr>
      <w:rPr>
        <w:rFonts w:ascii="Courier New" w:hAnsi="Courier New" w:cs="Courier New" w:hint="default"/>
      </w:rPr>
    </w:lvl>
    <w:lvl w:ilvl="2" w:tplc="04080005" w:tentative="1">
      <w:start w:val="1"/>
      <w:numFmt w:val="bullet"/>
      <w:lvlText w:val=""/>
      <w:lvlJc w:val="left"/>
      <w:pPr>
        <w:ind w:left="2171" w:hanging="360"/>
      </w:pPr>
      <w:rPr>
        <w:rFonts w:ascii="Wingdings" w:hAnsi="Wingdings" w:hint="default"/>
      </w:rPr>
    </w:lvl>
    <w:lvl w:ilvl="3" w:tplc="04080001" w:tentative="1">
      <w:start w:val="1"/>
      <w:numFmt w:val="bullet"/>
      <w:lvlText w:val=""/>
      <w:lvlJc w:val="left"/>
      <w:pPr>
        <w:ind w:left="2891" w:hanging="360"/>
      </w:pPr>
      <w:rPr>
        <w:rFonts w:ascii="Symbol" w:hAnsi="Symbol" w:hint="default"/>
      </w:rPr>
    </w:lvl>
    <w:lvl w:ilvl="4" w:tplc="04080003" w:tentative="1">
      <w:start w:val="1"/>
      <w:numFmt w:val="bullet"/>
      <w:lvlText w:val="o"/>
      <w:lvlJc w:val="left"/>
      <w:pPr>
        <w:ind w:left="3611" w:hanging="360"/>
      </w:pPr>
      <w:rPr>
        <w:rFonts w:ascii="Courier New" w:hAnsi="Courier New" w:cs="Courier New" w:hint="default"/>
      </w:rPr>
    </w:lvl>
    <w:lvl w:ilvl="5" w:tplc="04080005" w:tentative="1">
      <w:start w:val="1"/>
      <w:numFmt w:val="bullet"/>
      <w:lvlText w:val=""/>
      <w:lvlJc w:val="left"/>
      <w:pPr>
        <w:ind w:left="4331" w:hanging="360"/>
      </w:pPr>
      <w:rPr>
        <w:rFonts w:ascii="Wingdings" w:hAnsi="Wingdings" w:hint="default"/>
      </w:rPr>
    </w:lvl>
    <w:lvl w:ilvl="6" w:tplc="04080001" w:tentative="1">
      <w:start w:val="1"/>
      <w:numFmt w:val="bullet"/>
      <w:lvlText w:val=""/>
      <w:lvlJc w:val="left"/>
      <w:pPr>
        <w:ind w:left="5051" w:hanging="360"/>
      </w:pPr>
      <w:rPr>
        <w:rFonts w:ascii="Symbol" w:hAnsi="Symbol" w:hint="default"/>
      </w:rPr>
    </w:lvl>
    <w:lvl w:ilvl="7" w:tplc="04080003" w:tentative="1">
      <w:start w:val="1"/>
      <w:numFmt w:val="bullet"/>
      <w:lvlText w:val="o"/>
      <w:lvlJc w:val="left"/>
      <w:pPr>
        <w:ind w:left="5771" w:hanging="360"/>
      </w:pPr>
      <w:rPr>
        <w:rFonts w:ascii="Courier New" w:hAnsi="Courier New" w:cs="Courier New" w:hint="default"/>
      </w:rPr>
    </w:lvl>
    <w:lvl w:ilvl="8" w:tplc="04080005" w:tentative="1">
      <w:start w:val="1"/>
      <w:numFmt w:val="bullet"/>
      <w:lvlText w:val=""/>
      <w:lvlJc w:val="left"/>
      <w:pPr>
        <w:ind w:left="6491" w:hanging="360"/>
      </w:pPr>
      <w:rPr>
        <w:rFonts w:ascii="Wingdings" w:hAnsi="Wingdings" w:hint="default"/>
      </w:rPr>
    </w:lvl>
  </w:abstractNum>
  <w:abstractNum w:abstractNumId="5" w15:restartNumberingAfterBreak="0">
    <w:nsid w:val="170A072E"/>
    <w:multiLevelType w:val="hybridMultilevel"/>
    <w:tmpl w:val="27DEF4BC"/>
    <w:lvl w:ilvl="0" w:tplc="5D96AB8E">
      <w:start w:val="1"/>
      <w:numFmt w:val="bullet"/>
      <w:lvlText w:val=""/>
      <w:lvlJc w:val="left"/>
      <w:pPr>
        <w:tabs>
          <w:tab w:val="num" w:pos="720"/>
        </w:tabs>
        <w:ind w:left="720" w:hanging="360"/>
      </w:pPr>
      <w:rPr>
        <w:rFonts w:ascii="Wingdings" w:hAnsi="Wingdings" w:hint="default"/>
      </w:rPr>
    </w:lvl>
    <w:lvl w:ilvl="1" w:tplc="150A89C8">
      <w:start w:val="1"/>
      <w:numFmt w:val="bullet"/>
      <w:lvlText w:val=""/>
      <w:lvlJc w:val="left"/>
      <w:pPr>
        <w:tabs>
          <w:tab w:val="num" w:pos="1440"/>
        </w:tabs>
        <w:ind w:left="1440" w:hanging="360"/>
      </w:pPr>
      <w:rPr>
        <w:rFonts w:ascii="Wingdings" w:hAnsi="Wingdings" w:hint="default"/>
      </w:rPr>
    </w:lvl>
    <w:lvl w:ilvl="2" w:tplc="2436B798" w:tentative="1">
      <w:start w:val="1"/>
      <w:numFmt w:val="bullet"/>
      <w:lvlText w:val=""/>
      <w:lvlJc w:val="left"/>
      <w:pPr>
        <w:tabs>
          <w:tab w:val="num" w:pos="2160"/>
        </w:tabs>
        <w:ind w:left="2160" w:hanging="360"/>
      </w:pPr>
      <w:rPr>
        <w:rFonts w:ascii="Wingdings" w:hAnsi="Wingdings" w:hint="default"/>
      </w:rPr>
    </w:lvl>
    <w:lvl w:ilvl="3" w:tplc="BFE652CA" w:tentative="1">
      <w:start w:val="1"/>
      <w:numFmt w:val="bullet"/>
      <w:lvlText w:val=""/>
      <w:lvlJc w:val="left"/>
      <w:pPr>
        <w:tabs>
          <w:tab w:val="num" w:pos="2880"/>
        </w:tabs>
        <w:ind w:left="2880" w:hanging="360"/>
      </w:pPr>
      <w:rPr>
        <w:rFonts w:ascii="Wingdings" w:hAnsi="Wingdings" w:hint="default"/>
      </w:rPr>
    </w:lvl>
    <w:lvl w:ilvl="4" w:tplc="A016DD7E" w:tentative="1">
      <w:start w:val="1"/>
      <w:numFmt w:val="bullet"/>
      <w:lvlText w:val=""/>
      <w:lvlJc w:val="left"/>
      <w:pPr>
        <w:tabs>
          <w:tab w:val="num" w:pos="3600"/>
        </w:tabs>
        <w:ind w:left="3600" w:hanging="360"/>
      </w:pPr>
      <w:rPr>
        <w:rFonts w:ascii="Wingdings" w:hAnsi="Wingdings" w:hint="default"/>
      </w:rPr>
    </w:lvl>
    <w:lvl w:ilvl="5" w:tplc="C35E7BD6" w:tentative="1">
      <w:start w:val="1"/>
      <w:numFmt w:val="bullet"/>
      <w:lvlText w:val=""/>
      <w:lvlJc w:val="left"/>
      <w:pPr>
        <w:tabs>
          <w:tab w:val="num" w:pos="4320"/>
        </w:tabs>
        <w:ind w:left="4320" w:hanging="360"/>
      </w:pPr>
      <w:rPr>
        <w:rFonts w:ascii="Wingdings" w:hAnsi="Wingdings" w:hint="default"/>
      </w:rPr>
    </w:lvl>
    <w:lvl w:ilvl="6" w:tplc="4CF82B56" w:tentative="1">
      <w:start w:val="1"/>
      <w:numFmt w:val="bullet"/>
      <w:lvlText w:val=""/>
      <w:lvlJc w:val="left"/>
      <w:pPr>
        <w:tabs>
          <w:tab w:val="num" w:pos="5040"/>
        </w:tabs>
        <w:ind w:left="5040" w:hanging="360"/>
      </w:pPr>
      <w:rPr>
        <w:rFonts w:ascii="Wingdings" w:hAnsi="Wingdings" w:hint="default"/>
      </w:rPr>
    </w:lvl>
    <w:lvl w:ilvl="7" w:tplc="F61891EC" w:tentative="1">
      <w:start w:val="1"/>
      <w:numFmt w:val="bullet"/>
      <w:lvlText w:val=""/>
      <w:lvlJc w:val="left"/>
      <w:pPr>
        <w:tabs>
          <w:tab w:val="num" w:pos="5760"/>
        </w:tabs>
        <w:ind w:left="5760" w:hanging="360"/>
      </w:pPr>
      <w:rPr>
        <w:rFonts w:ascii="Wingdings" w:hAnsi="Wingdings" w:hint="default"/>
      </w:rPr>
    </w:lvl>
    <w:lvl w:ilvl="8" w:tplc="AFCCCF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93B38"/>
    <w:multiLevelType w:val="hybridMultilevel"/>
    <w:tmpl w:val="F9BE7390"/>
    <w:lvl w:ilvl="0" w:tplc="040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45756A"/>
    <w:multiLevelType w:val="hybridMultilevel"/>
    <w:tmpl w:val="5D1EB3A2"/>
    <w:lvl w:ilvl="0" w:tplc="CB68E564">
      <w:numFmt w:val="bullet"/>
      <w:lvlText w:val="-"/>
      <w:lvlJc w:val="left"/>
      <w:pPr>
        <w:ind w:left="644" w:hanging="360"/>
      </w:pPr>
      <w:rPr>
        <w:rFonts w:ascii="Arial" w:eastAsia="Times New Roman" w:hAnsi="Arial" w:cs="Arial" w:hint="default"/>
      </w:rPr>
    </w:lvl>
    <w:lvl w:ilvl="1" w:tplc="04080003">
      <w:start w:val="1"/>
      <w:numFmt w:val="bullet"/>
      <w:lvlText w:val="o"/>
      <w:lvlJc w:val="left"/>
      <w:pPr>
        <w:ind w:left="-3946" w:hanging="360"/>
      </w:pPr>
      <w:rPr>
        <w:rFonts w:ascii="Courier New" w:hAnsi="Courier New" w:cs="Courier New" w:hint="default"/>
      </w:rPr>
    </w:lvl>
    <w:lvl w:ilvl="2" w:tplc="04080005" w:tentative="1">
      <w:start w:val="1"/>
      <w:numFmt w:val="bullet"/>
      <w:lvlText w:val=""/>
      <w:lvlJc w:val="left"/>
      <w:pPr>
        <w:ind w:left="-3226" w:hanging="360"/>
      </w:pPr>
      <w:rPr>
        <w:rFonts w:ascii="Wingdings" w:hAnsi="Wingdings" w:hint="default"/>
      </w:rPr>
    </w:lvl>
    <w:lvl w:ilvl="3" w:tplc="04080001" w:tentative="1">
      <w:start w:val="1"/>
      <w:numFmt w:val="bullet"/>
      <w:lvlText w:val=""/>
      <w:lvlJc w:val="left"/>
      <w:pPr>
        <w:ind w:left="-2506" w:hanging="360"/>
      </w:pPr>
      <w:rPr>
        <w:rFonts w:ascii="Symbol" w:hAnsi="Symbol" w:hint="default"/>
      </w:rPr>
    </w:lvl>
    <w:lvl w:ilvl="4" w:tplc="04080003" w:tentative="1">
      <w:start w:val="1"/>
      <w:numFmt w:val="bullet"/>
      <w:lvlText w:val="o"/>
      <w:lvlJc w:val="left"/>
      <w:pPr>
        <w:ind w:left="-1786" w:hanging="360"/>
      </w:pPr>
      <w:rPr>
        <w:rFonts w:ascii="Courier New" w:hAnsi="Courier New" w:cs="Courier New" w:hint="default"/>
      </w:rPr>
    </w:lvl>
    <w:lvl w:ilvl="5" w:tplc="04080005" w:tentative="1">
      <w:start w:val="1"/>
      <w:numFmt w:val="bullet"/>
      <w:lvlText w:val=""/>
      <w:lvlJc w:val="left"/>
      <w:pPr>
        <w:ind w:left="-1066" w:hanging="360"/>
      </w:pPr>
      <w:rPr>
        <w:rFonts w:ascii="Wingdings" w:hAnsi="Wingdings" w:hint="default"/>
      </w:rPr>
    </w:lvl>
    <w:lvl w:ilvl="6" w:tplc="04080001" w:tentative="1">
      <w:start w:val="1"/>
      <w:numFmt w:val="bullet"/>
      <w:lvlText w:val=""/>
      <w:lvlJc w:val="left"/>
      <w:pPr>
        <w:ind w:left="-346" w:hanging="360"/>
      </w:pPr>
      <w:rPr>
        <w:rFonts w:ascii="Symbol" w:hAnsi="Symbol" w:hint="default"/>
      </w:rPr>
    </w:lvl>
    <w:lvl w:ilvl="7" w:tplc="04080003" w:tentative="1">
      <w:start w:val="1"/>
      <w:numFmt w:val="bullet"/>
      <w:lvlText w:val="o"/>
      <w:lvlJc w:val="left"/>
      <w:pPr>
        <w:ind w:left="374" w:hanging="360"/>
      </w:pPr>
      <w:rPr>
        <w:rFonts w:ascii="Courier New" w:hAnsi="Courier New" w:cs="Courier New" w:hint="default"/>
      </w:rPr>
    </w:lvl>
    <w:lvl w:ilvl="8" w:tplc="04080005" w:tentative="1">
      <w:start w:val="1"/>
      <w:numFmt w:val="bullet"/>
      <w:lvlText w:val=""/>
      <w:lvlJc w:val="left"/>
      <w:pPr>
        <w:ind w:left="1094" w:hanging="360"/>
      </w:pPr>
      <w:rPr>
        <w:rFonts w:ascii="Wingdings" w:hAnsi="Wingdings" w:hint="default"/>
      </w:rPr>
    </w:lvl>
  </w:abstractNum>
  <w:abstractNum w:abstractNumId="8" w15:restartNumberingAfterBreak="0">
    <w:nsid w:val="7B292AE7"/>
    <w:multiLevelType w:val="hybridMultilevel"/>
    <w:tmpl w:val="41409D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5"/>
  </w:num>
  <w:num w:numId="5">
    <w:abstractNumId w:val="3"/>
  </w:num>
  <w:num w:numId="6">
    <w:abstractNumId w:val="8"/>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BE"/>
    <w:rsid w:val="00001463"/>
    <w:rsid w:val="000018BC"/>
    <w:rsid w:val="00001E5E"/>
    <w:rsid w:val="00003CC4"/>
    <w:rsid w:val="0000478F"/>
    <w:rsid w:val="000056D1"/>
    <w:rsid w:val="000057C4"/>
    <w:rsid w:val="000069F0"/>
    <w:rsid w:val="000073EC"/>
    <w:rsid w:val="00007614"/>
    <w:rsid w:val="000108D8"/>
    <w:rsid w:val="000113F4"/>
    <w:rsid w:val="00012D6D"/>
    <w:rsid w:val="000135F5"/>
    <w:rsid w:val="00013D4F"/>
    <w:rsid w:val="0001669D"/>
    <w:rsid w:val="0002094C"/>
    <w:rsid w:val="00024422"/>
    <w:rsid w:val="00025DEC"/>
    <w:rsid w:val="00032103"/>
    <w:rsid w:val="000337AD"/>
    <w:rsid w:val="00033E4D"/>
    <w:rsid w:val="00035E2E"/>
    <w:rsid w:val="00035ED6"/>
    <w:rsid w:val="00036590"/>
    <w:rsid w:val="000408A0"/>
    <w:rsid w:val="00041CD6"/>
    <w:rsid w:val="000423CD"/>
    <w:rsid w:val="000436B4"/>
    <w:rsid w:val="00044325"/>
    <w:rsid w:val="00044428"/>
    <w:rsid w:val="00050AA8"/>
    <w:rsid w:val="0005145C"/>
    <w:rsid w:val="000539AC"/>
    <w:rsid w:val="00054441"/>
    <w:rsid w:val="00055140"/>
    <w:rsid w:val="0006261E"/>
    <w:rsid w:val="000638D9"/>
    <w:rsid w:val="00063C55"/>
    <w:rsid w:val="00064956"/>
    <w:rsid w:val="00065351"/>
    <w:rsid w:val="0006544F"/>
    <w:rsid w:val="0006722A"/>
    <w:rsid w:val="00067C36"/>
    <w:rsid w:val="00070326"/>
    <w:rsid w:val="00072120"/>
    <w:rsid w:val="000729A0"/>
    <w:rsid w:val="00076804"/>
    <w:rsid w:val="0008621C"/>
    <w:rsid w:val="0008698B"/>
    <w:rsid w:val="00087FC4"/>
    <w:rsid w:val="00090B00"/>
    <w:rsid w:val="00091DDA"/>
    <w:rsid w:val="00092C42"/>
    <w:rsid w:val="00093193"/>
    <w:rsid w:val="00095056"/>
    <w:rsid w:val="0009624B"/>
    <w:rsid w:val="00096713"/>
    <w:rsid w:val="000A04F5"/>
    <w:rsid w:val="000A08A6"/>
    <w:rsid w:val="000A0991"/>
    <w:rsid w:val="000A30E7"/>
    <w:rsid w:val="000A4D42"/>
    <w:rsid w:val="000A5036"/>
    <w:rsid w:val="000A6431"/>
    <w:rsid w:val="000A6C19"/>
    <w:rsid w:val="000B08CB"/>
    <w:rsid w:val="000B2A3B"/>
    <w:rsid w:val="000B336F"/>
    <w:rsid w:val="000B374B"/>
    <w:rsid w:val="000B3D46"/>
    <w:rsid w:val="000B5D13"/>
    <w:rsid w:val="000B5FD3"/>
    <w:rsid w:val="000C1A3F"/>
    <w:rsid w:val="000C2A32"/>
    <w:rsid w:val="000C3871"/>
    <w:rsid w:val="000C41AE"/>
    <w:rsid w:val="000C7D9A"/>
    <w:rsid w:val="000D005D"/>
    <w:rsid w:val="000D053D"/>
    <w:rsid w:val="000D0705"/>
    <w:rsid w:val="000D0AB6"/>
    <w:rsid w:val="000D26B9"/>
    <w:rsid w:val="000D358B"/>
    <w:rsid w:val="000D3D66"/>
    <w:rsid w:val="000D4172"/>
    <w:rsid w:val="000D6446"/>
    <w:rsid w:val="000D67A1"/>
    <w:rsid w:val="000D7348"/>
    <w:rsid w:val="000E01B9"/>
    <w:rsid w:val="000E10BE"/>
    <w:rsid w:val="000E1503"/>
    <w:rsid w:val="000E1B95"/>
    <w:rsid w:val="000E2125"/>
    <w:rsid w:val="000E2981"/>
    <w:rsid w:val="000E6B59"/>
    <w:rsid w:val="000F076B"/>
    <w:rsid w:val="000F2A6F"/>
    <w:rsid w:val="000F49BB"/>
    <w:rsid w:val="000F54C9"/>
    <w:rsid w:val="000F613D"/>
    <w:rsid w:val="000F6CB7"/>
    <w:rsid w:val="0010083B"/>
    <w:rsid w:val="00101D3E"/>
    <w:rsid w:val="00102E20"/>
    <w:rsid w:val="001035BA"/>
    <w:rsid w:val="001036B1"/>
    <w:rsid w:val="00103C1C"/>
    <w:rsid w:val="00104B80"/>
    <w:rsid w:val="001065EC"/>
    <w:rsid w:val="00107248"/>
    <w:rsid w:val="00107FE2"/>
    <w:rsid w:val="00113900"/>
    <w:rsid w:val="00113920"/>
    <w:rsid w:val="00121A6A"/>
    <w:rsid w:val="00124509"/>
    <w:rsid w:val="00125A35"/>
    <w:rsid w:val="00126142"/>
    <w:rsid w:val="00126C55"/>
    <w:rsid w:val="001301DA"/>
    <w:rsid w:val="0013151D"/>
    <w:rsid w:val="00132977"/>
    <w:rsid w:val="0013668D"/>
    <w:rsid w:val="001417CB"/>
    <w:rsid w:val="001447F2"/>
    <w:rsid w:val="00144F71"/>
    <w:rsid w:val="00147A43"/>
    <w:rsid w:val="001511E7"/>
    <w:rsid w:val="001516D6"/>
    <w:rsid w:val="001517B9"/>
    <w:rsid w:val="001547D6"/>
    <w:rsid w:val="0015574E"/>
    <w:rsid w:val="001574F8"/>
    <w:rsid w:val="001577D3"/>
    <w:rsid w:val="00157B4C"/>
    <w:rsid w:val="0016066F"/>
    <w:rsid w:val="00161298"/>
    <w:rsid w:val="00163905"/>
    <w:rsid w:val="001641E2"/>
    <w:rsid w:val="00165CD8"/>
    <w:rsid w:val="00166519"/>
    <w:rsid w:val="0016769A"/>
    <w:rsid w:val="00173777"/>
    <w:rsid w:val="00180DE2"/>
    <w:rsid w:val="001813DB"/>
    <w:rsid w:val="001830FD"/>
    <w:rsid w:val="001838D5"/>
    <w:rsid w:val="00184408"/>
    <w:rsid w:val="0018749C"/>
    <w:rsid w:val="001878DB"/>
    <w:rsid w:val="00187B5D"/>
    <w:rsid w:val="00192A92"/>
    <w:rsid w:val="00192DFD"/>
    <w:rsid w:val="001959B1"/>
    <w:rsid w:val="001A2F4A"/>
    <w:rsid w:val="001A31CD"/>
    <w:rsid w:val="001A3499"/>
    <w:rsid w:val="001A3C8F"/>
    <w:rsid w:val="001A3E12"/>
    <w:rsid w:val="001A4921"/>
    <w:rsid w:val="001B0EB8"/>
    <w:rsid w:val="001B0ECE"/>
    <w:rsid w:val="001B24AD"/>
    <w:rsid w:val="001B27AB"/>
    <w:rsid w:val="001B31C9"/>
    <w:rsid w:val="001B3258"/>
    <w:rsid w:val="001B45B2"/>
    <w:rsid w:val="001B4B5B"/>
    <w:rsid w:val="001B75DF"/>
    <w:rsid w:val="001B7BA9"/>
    <w:rsid w:val="001C17C5"/>
    <w:rsid w:val="001C3371"/>
    <w:rsid w:val="001C4046"/>
    <w:rsid w:val="001C51DF"/>
    <w:rsid w:val="001D014F"/>
    <w:rsid w:val="001D0DAC"/>
    <w:rsid w:val="001D4DE5"/>
    <w:rsid w:val="001D5A4D"/>
    <w:rsid w:val="001D692E"/>
    <w:rsid w:val="001E03E0"/>
    <w:rsid w:val="001E2263"/>
    <w:rsid w:val="001E2B4B"/>
    <w:rsid w:val="001E49CB"/>
    <w:rsid w:val="001F007F"/>
    <w:rsid w:val="001F050E"/>
    <w:rsid w:val="001F230A"/>
    <w:rsid w:val="001F4BDF"/>
    <w:rsid w:val="001F5F5A"/>
    <w:rsid w:val="001F6E9C"/>
    <w:rsid w:val="001F7C40"/>
    <w:rsid w:val="002000EB"/>
    <w:rsid w:val="0020067A"/>
    <w:rsid w:val="00202E2F"/>
    <w:rsid w:val="002031F8"/>
    <w:rsid w:val="00203D33"/>
    <w:rsid w:val="00204B2B"/>
    <w:rsid w:val="00214EFB"/>
    <w:rsid w:val="002175B7"/>
    <w:rsid w:val="00217A10"/>
    <w:rsid w:val="002217B2"/>
    <w:rsid w:val="0022213B"/>
    <w:rsid w:val="00222937"/>
    <w:rsid w:val="002236A9"/>
    <w:rsid w:val="00231AF3"/>
    <w:rsid w:val="00234826"/>
    <w:rsid w:val="0023554D"/>
    <w:rsid w:val="002356B0"/>
    <w:rsid w:val="002416BB"/>
    <w:rsid w:val="00242F03"/>
    <w:rsid w:val="0024329E"/>
    <w:rsid w:val="00244DFE"/>
    <w:rsid w:val="00245426"/>
    <w:rsid w:val="00245AB3"/>
    <w:rsid w:val="002467E1"/>
    <w:rsid w:val="00250564"/>
    <w:rsid w:val="0025212A"/>
    <w:rsid w:val="00254705"/>
    <w:rsid w:val="002554EA"/>
    <w:rsid w:val="00256E4B"/>
    <w:rsid w:val="00257221"/>
    <w:rsid w:val="0025794B"/>
    <w:rsid w:val="00257AE6"/>
    <w:rsid w:val="0026085A"/>
    <w:rsid w:val="00263F3B"/>
    <w:rsid w:val="002660BC"/>
    <w:rsid w:val="00266CB1"/>
    <w:rsid w:val="00272C9A"/>
    <w:rsid w:val="00273F86"/>
    <w:rsid w:val="002801AA"/>
    <w:rsid w:val="00281AAA"/>
    <w:rsid w:val="00282A47"/>
    <w:rsid w:val="0028355E"/>
    <w:rsid w:val="00285C46"/>
    <w:rsid w:val="0028603F"/>
    <w:rsid w:val="002868CC"/>
    <w:rsid w:val="002879A3"/>
    <w:rsid w:val="00290C12"/>
    <w:rsid w:val="00293E7F"/>
    <w:rsid w:val="0029411E"/>
    <w:rsid w:val="002A058D"/>
    <w:rsid w:val="002A066F"/>
    <w:rsid w:val="002A3F8D"/>
    <w:rsid w:val="002A40B4"/>
    <w:rsid w:val="002A450B"/>
    <w:rsid w:val="002A55B7"/>
    <w:rsid w:val="002A61B1"/>
    <w:rsid w:val="002A6407"/>
    <w:rsid w:val="002A649F"/>
    <w:rsid w:val="002B2838"/>
    <w:rsid w:val="002B6FC3"/>
    <w:rsid w:val="002C005A"/>
    <w:rsid w:val="002C1202"/>
    <w:rsid w:val="002C1655"/>
    <w:rsid w:val="002C17BB"/>
    <w:rsid w:val="002C7580"/>
    <w:rsid w:val="002C7F9C"/>
    <w:rsid w:val="002D0421"/>
    <w:rsid w:val="002D0A28"/>
    <w:rsid w:val="002D25AC"/>
    <w:rsid w:val="002D34DA"/>
    <w:rsid w:val="002D3580"/>
    <w:rsid w:val="002D56B7"/>
    <w:rsid w:val="002D5829"/>
    <w:rsid w:val="002D5AE3"/>
    <w:rsid w:val="002D5FF9"/>
    <w:rsid w:val="002D66BC"/>
    <w:rsid w:val="002D6B38"/>
    <w:rsid w:val="002E0A92"/>
    <w:rsid w:val="002E2996"/>
    <w:rsid w:val="002E6FF7"/>
    <w:rsid w:val="002E764E"/>
    <w:rsid w:val="002E7A7B"/>
    <w:rsid w:val="002F1217"/>
    <w:rsid w:val="002F17FD"/>
    <w:rsid w:val="002F1CDB"/>
    <w:rsid w:val="002F24F7"/>
    <w:rsid w:val="002F4462"/>
    <w:rsid w:val="002F5045"/>
    <w:rsid w:val="002F65E0"/>
    <w:rsid w:val="002F79BC"/>
    <w:rsid w:val="0030091C"/>
    <w:rsid w:val="003020A5"/>
    <w:rsid w:val="00302545"/>
    <w:rsid w:val="003025AF"/>
    <w:rsid w:val="0030398C"/>
    <w:rsid w:val="00304B6F"/>
    <w:rsid w:val="003109EF"/>
    <w:rsid w:val="00311EE6"/>
    <w:rsid w:val="00312792"/>
    <w:rsid w:val="00315552"/>
    <w:rsid w:val="00321199"/>
    <w:rsid w:val="00324586"/>
    <w:rsid w:val="00324E55"/>
    <w:rsid w:val="0032552F"/>
    <w:rsid w:val="00326302"/>
    <w:rsid w:val="00327BE1"/>
    <w:rsid w:val="00327C59"/>
    <w:rsid w:val="00330B05"/>
    <w:rsid w:val="003315C7"/>
    <w:rsid w:val="00331BA4"/>
    <w:rsid w:val="00333219"/>
    <w:rsid w:val="003332ED"/>
    <w:rsid w:val="003336B3"/>
    <w:rsid w:val="0033444E"/>
    <w:rsid w:val="00334ECE"/>
    <w:rsid w:val="0033511D"/>
    <w:rsid w:val="00335B9A"/>
    <w:rsid w:val="00336A30"/>
    <w:rsid w:val="003403A0"/>
    <w:rsid w:val="0034170E"/>
    <w:rsid w:val="00345777"/>
    <w:rsid w:val="003508C8"/>
    <w:rsid w:val="0035098E"/>
    <w:rsid w:val="003512C1"/>
    <w:rsid w:val="00354B6F"/>
    <w:rsid w:val="0035550D"/>
    <w:rsid w:val="0035595D"/>
    <w:rsid w:val="00356E51"/>
    <w:rsid w:val="003577C9"/>
    <w:rsid w:val="0036009F"/>
    <w:rsid w:val="003633F0"/>
    <w:rsid w:val="003648FC"/>
    <w:rsid w:val="00365AB8"/>
    <w:rsid w:val="003671B6"/>
    <w:rsid w:val="0037264E"/>
    <w:rsid w:val="003727A8"/>
    <w:rsid w:val="0037302D"/>
    <w:rsid w:val="00374F9B"/>
    <w:rsid w:val="00375032"/>
    <w:rsid w:val="003753A2"/>
    <w:rsid w:val="00376A5B"/>
    <w:rsid w:val="003812C2"/>
    <w:rsid w:val="0038221F"/>
    <w:rsid w:val="0038307E"/>
    <w:rsid w:val="0038346B"/>
    <w:rsid w:val="00384C2D"/>
    <w:rsid w:val="00390095"/>
    <w:rsid w:val="0039019F"/>
    <w:rsid w:val="0039123E"/>
    <w:rsid w:val="00391267"/>
    <w:rsid w:val="00393191"/>
    <w:rsid w:val="003936E7"/>
    <w:rsid w:val="003954AE"/>
    <w:rsid w:val="0039569C"/>
    <w:rsid w:val="00397C67"/>
    <w:rsid w:val="003A09DA"/>
    <w:rsid w:val="003A19E2"/>
    <w:rsid w:val="003A46A9"/>
    <w:rsid w:val="003A4869"/>
    <w:rsid w:val="003A59DA"/>
    <w:rsid w:val="003A5C3F"/>
    <w:rsid w:val="003A6959"/>
    <w:rsid w:val="003A7E41"/>
    <w:rsid w:val="003A7E4D"/>
    <w:rsid w:val="003B7225"/>
    <w:rsid w:val="003C1261"/>
    <w:rsid w:val="003C7C98"/>
    <w:rsid w:val="003D24F8"/>
    <w:rsid w:val="003D31E6"/>
    <w:rsid w:val="003D3228"/>
    <w:rsid w:val="003D3CD2"/>
    <w:rsid w:val="003D3F41"/>
    <w:rsid w:val="003D5A13"/>
    <w:rsid w:val="003D7A77"/>
    <w:rsid w:val="003E14D0"/>
    <w:rsid w:val="003E1D77"/>
    <w:rsid w:val="003E3156"/>
    <w:rsid w:val="003E4E3D"/>
    <w:rsid w:val="003E5B66"/>
    <w:rsid w:val="003F055C"/>
    <w:rsid w:val="003F1279"/>
    <w:rsid w:val="003F3D85"/>
    <w:rsid w:val="003F4E12"/>
    <w:rsid w:val="003F5045"/>
    <w:rsid w:val="00401F3D"/>
    <w:rsid w:val="004034DE"/>
    <w:rsid w:val="00403CFF"/>
    <w:rsid w:val="00404351"/>
    <w:rsid w:val="004051DB"/>
    <w:rsid w:val="004052E7"/>
    <w:rsid w:val="004053D9"/>
    <w:rsid w:val="00406ACE"/>
    <w:rsid w:val="0040760C"/>
    <w:rsid w:val="00407A48"/>
    <w:rsid w:val="004107E7"/>
    <w:rsid w:val="00410E26"/>
    <w:rsid w:val="00410FF8"/>
    <w:rsid w:val="0041122A"/>
    <w:rsid w:val="00413EEF"/>
    <w:rsid w:val="004148C0"/>
    <w:rsid w:val="00414AE3"/>
    <w:rsid w:val="00416BC3"/>
    <w:rsid w:val="0041707D"/>
    <w:rsid w:val="004239CA"/>
    <w:rsid w:val="00425E75"/>
    <w:rsid w:val="00427174"/>
    <w:rsid w:val="00431129"/>
    <w:rsid w:val="00432568"/>
    <w:rsid w:val="004342F1"/>
    <w:rsid w:val="00437993"/>
    <w:rsid w:val="0044090B"/>
    <w:rsid w:val="0044404F"/>
    <w:rsid w:val="00445582"/>
    <w:rsid w:val="00445744"/>
    <w:rsid w:val="00447B24"/>
    <w:rsid w:val="00447EF2"/>
    <w:rsid w:val="00452A51"/>
    <w:rsid w:val="00452B6D"/>
    <w:rsid w:val="00452CA4"/>
    <w:rsid w:val="0045307E"/>
    <w:rsid w:val="0045425D"/>
    <w:rsid w:val="00454FD8"/>
    <w:rsid w:val="00460C52"/>
    <w:rsid w:val="00463A71"/>
    <w:rsid w:val="00464D0A"/>
    <w:rsid w:val="00465824"/>
    <w:rsid w:val="00467266"/>
    <w:rsid w:val="00470372"/>
    <w:rsid w:val="00471087"/>
    <w:rsid w:val="00471C49"/>
    <w:rsid w:val="004744CC"/>
    <w:rsid w:val="00474F1D"/>
    <w:rsid w:val="00475C85"/>
    <w:rsid w:val="004761D1"/>
    <w:rsid w:val="00480C09"/>
    <w:rsid w:val="004840EC"/>
    <w:rsid w:val="0048538E"/>
    <w:rsid w:val="00485C32"/>
    <w:rsid w:val="00486760"/>
    <w:rsid w:val="00486A4F"/>
    <w:rsid w:val="004903E8"/>
    <w:rsid w:val="004971A3"/>
    <w:rsid w:val="00497541"/>
    <w:rsid w:val="004A07CC"/>
    <w:rsid w:val="004A0F4E"/>
    <w:rsid w:val="004A39DC"/>
    <w:rsid w:val="004A424A"/>
    <w:rsid w:val="004A49CD"/>
    <w:rsid w:val="004A6561"/>
    <w:rsid w:val="004A7405"/>
    <w:rsid w:val="004A793D"/>
    <w:rsid w:val="004B0C4E"/>
    <w:rsid w:val="004B1BAE"/>
    <w:rsid w:val="004B2B1A"/>
    <w:rsid w:val="004B393C"/>
    <w:rsid w:val="004B3A53"/>
    <w:rsid w:val="004B493B"/>
    <w:rsid w:val="004B55F7"/>
    <w:rsid w:val="004B5B50"/>
    <w:rsid w:val="004C196C"/>
    <w:rsid w:val="004C3660"/>
    <w:rsid w:val="004C3A90"/>
    <w:rsid w:val="004C4F51"/>
    <w:rsid w:val="004C6FF1"/>
    <w:rsid w:val="004C78D9"/>
    <w:rsid w:val="004C7973"/>
    <w:rsid w:val="004D09BD"/>
    <w:rsid w:val="004D0AB2"/>
    <w:rsid w:val="004D1171"/>
    <w:rsid w:val="004D236E"/>
    <w:rsid w:val="004D2413"/>
    <w:rsid w:val="004D5E3B"/>
    <w:rsid w:val="004D6FEA"/>
    <w:rsid w:val="004E03E1"/>
    <w:rsid w:val="004E11FD"/>
    <w:rsid w:val="004E16EE"/>
    <w:rsid w:val="004E2DA0"/>
    <w:rsid w:val="004E36D5"/>
    <w:rsid w:val="004E3749"/>
    <w:rsid w:val="004F298E"/>
    <w:rsid w:val="004F3806"/>
    <w:rsid w:val="004F7805"/>
    <w:rsid w:val="00500167"/>
    <w:rsid w:val="0050100A"/>
    <w:rsid w:val="005017FA"/>
    <w:rsid w:val="00503E55"/>
    <w:rsid w:val="00507329"/>
    <w:rsid w:val="00510BA3"/>
    <w:rsid w:val="00511FA3"/>
    <w:rsid w:val="00512441"/>
    <w:rsid w:val="005131E8"/>
    <w:rsid w:val="005147D0"/>
    <w:rsid w:val="00515715"/>
    <w:rsid w:val="0051688B"/>
    <w:rsid w:val="00517B68"/>
    <w:rsid w:val="0052240B"/>
    <w:rsid w:val="0052397F"/>
    <w:rsid w:val="005253FE"/>
    <w:rsid w:val="00530E55"/>
    <w:rsid w:val="005336C9"/>
    <w:rsid w:val="00533D12"/>
    <w:rsid w:val="00535880"/>
    <w:rsid w:val="005364C0"/>
    <w:rsid w:val="0053675B"/>
    <w:rsid w:val="00540BE3"/>
    <w:rsid w:val="00544942"/>
    <w:rsid w:val="00545EF7"/>
    <w:rsid w:val="005470BD"/>
    <w:rsid w:val="00547328"/>
    <w:rsid w:val="00550E45"/>
    <w:rsid w:val="00554439"/>
    <w:rsid w:val="0055558F"/>
    <w:rsid w:val="00555B95"/>
    <w:rsid w:val="00557268"/>
    <w:rsid w:val="005613D2"/>
    <w:rsid w:val="005623FE"/>
    <w:rsid w:val="00564158"/>
    <w:rsid w:val="00570F84"/>
    <w:rsid w:val="00571C8A"/>
    <w:rsid w:val="005726BE"/>
    <w:rsid w:val="0057696B"/>
    <w:rsid w:val="00577D43"/>
    <w:rsid w:val="00580FDC"/>
    <w:rsid w:val="005810DE"/>
    <w:rsid w:val="0058157A"/>
    <w:rsid w:val="00581ED0"/>
    <w:rsid w:val="00586B2E"/>
    <w:rsid w:val="00587A47"/>
    <w:rsid w:val="00590E16"/>
    <w:rsid w:val="005942B2"/>
    <w:rsid w:val="00597602"/>
    <w:rsid w:val="005A0DBE"/>
    <w:rsid w:val="005A281C"/>
    <w:rsid w:val="005A58DE"/>
    <w:rsid w:val="005B0AF2"/>
    <w:rsid w:val="005B0AFE"/>
    <w:rsid w:val="005B17CB"/>
    <w:rsid w:val="005B61C0"/>
    <w:rsid w:val="005C09BA"/>
    <w:rsid w:val="005C0AE8"/>
    <w:rsid w:val="005C1BB8"/>
    <w:rsid w:val="005C1D19"/>
    <w:rsid w:val="005C1D64"/>
    <w:rsid w:val="005C2345"/>
    <w:rsid w:val="005C4620"/>
    <w:rsid w:val="005C57A1"/>
    <w:rsid w:val="005C719E"/>
    <w:rsid w:val="005D028C"/>
    <w:rsid w:val="005D33A0"/>
    <w:rsid w:val="005D3B22"/>
    <w:rsid w:val="005D52D5"/>
    <w:rsid w:val="005D6A06"/>
    <w:rsid w:val="005E534E"/>
    <w:rsid w:val="005E5830"/>
    <w:rsid w:val="005E5BE1"/>
    <w:rsid w:val="005F0D2E"/>
    <w:rsid w:val="005F3323"/>
    <w:rsid w:val="005F401C"/>
    <w:rsid w:val="005F4126"/>
    <w:rsid w:val="005F655B"/>
    <w:rsid w:val="005F693A"/>
    <w:rsid w:val="00600985"/>
    <w:rsid w:val="00600FA4"/>
    <w:rsid w:val="00603043"/>
    <w:rsid w:val="00605E8C"/>
    <w:rsid w:val="006068F0"/>
    <w:rsid w:val="006073AB"/>
    <w:rsid w:val="00610C4E"/>
    <w:rsid w:val="00610D9F"/>
    <w:rsid w:val="0061111C"/>
    <w:rsid w:val="00611289"/>
    <w:rsid w:val="0061134B"/>
    <w:rsid w:val="0061299A"/>
    <w:rsid w:val="00613831"/>
    <w:rsid w:val="00617101"/>
    <w:rsid w:val="0062023D"/>
    <w:rsid w:val="00620A08"/>
    <w:rsid w:val="00622B7A"/>
    <w:rsid w:val="00622E0E"/>
    <w:rsid w:val="0062318D"/>
    <w:rsid w:val="00623FA8"/>
    <w:rsid w:val="00627F1E"/>
    <w:rsid w:val="006307C9"/>
    <w:rsid w:val="006341EB"/>
    <w:rsid w:val="00635689"/>
    <w:rsid w:val="00635D47"/>
    <w:rsid w:val="00636130"/>
    <w:rsid w:val="00637252"/>
    <w:rsid w:val="006400E4"/>
    <w:rsid w:val="00645210"/>
    <w:rsid w:val="00645440"/>
    <w:rsid w:val="00645748"/>
    <w:rsid w:val="00646102"/>
    <w:rsid w:val="006503A1"/>
    <w:rsid w:val="0065467B"/>
    <w:rsid w:val="00654E41"/>
    <w:rsid w:val="00654F44"/>
    <w:rsid w:val="00663715"/>
    <w:rsid w:val="00666E13"/>
    <w:rsid w:val="00667226"/>
    <w:rsid w:val="006709F8"/>
    <w:rsid w:val="00670FA2"/>
    <w:rsid w:val="00674B96"/>
    <w:rsid w:val="00676F0E"/>
    <w:rsid w:val="006801EC"/>
    <w:rsid w:val="0068333D"/>
    <w:rsid w:val="006852BF"/>
    <w:rsid w:val="006860BF"/>
    <w:rsid w:val="00690C9B"/>
    <w:rsid w:val="00690D1F"/>
    <w:rsid w:val="00691AF7"/>
    <w:rsid w:val="00692A09"/>
    <w:rsid w:val="00694A0D"/>
    <w:rsid w:val="00694EDF"/>
    <w:rsid w:val="00695B2F"/>
    <w:rsid w:val="00696C8A"/>
    <w:rsid w:val="006A0C6C"/>
    <w:rsid w:val="006A32C3"/>
    <w:rsid w:val="006A47E4"/>
    <w:rsid w:val="006A4A1B"/>
    <w:rsid w:val="006B0CCA"/>
    <w:rsid w:val="006B1EF6"/>
    <w:rsid w:val="006B28F1"/>
    <w:rsid w:val="006B5D7B"/>
    <w:rsid w:val="006B7FB7"/>
    <w:rsid w:val="006C0866"/>
    <w:rsid w:val="006C1DD3"/>
    <w:rsid w:val="006C2EBB"/>
    <w:rsid w:val="006C3029"/>
    <w:rsid w:val="006C4B8A"/>
    <w:rsid w:val="006C66E5"/>
    <w:rsid w:val="006C71DC"/>
    <w:rsid w:val="006D08AB"/>
    <w:rsid w:val="006D1FDF"/>
    <w:rsid w:val="006D24BC"/>
    <w:rsid w:val="006D25B5"/>
    <w:rsid w:val="006D32C7"/>
    <w:rsid w:val="006D555B"/>
    <w:rsid w:val="006D696A"/>
    <w:rsid w:val="006E098A"/>
    <w:rsid w:val="006E144F"/>
    <w:rsid w:val="006E1A84"/>
    <w:rsid w:val="006E28B8"/>
    <w:rsid w:val="006E300D"/>
    <w:rsid w:val="006E30B6"/>
    <w:rsid w:val="006E3884"/>
    <w:rsid w:val="006E45C8"/>
    <w:rsid w:val="006E5F97"/>
    <w:rsid w:val="006E692C"/>
    <w:rsid w:val="006E7CC4"/>
    <w:rsid w:val="006F01F3"/>
    <w:rsid w:val="006F06CC"/>
    <w:rsid w:val="006F0790"/>
    <w:rsid w:val="006F239F"/>
    <w:rsid w:val="00702B4A"/>
    <w:rsid w:val="007105DC"/>
    <w:rsid w:val="007110BA"/>
    <w:rsid w:val="00711387"/>
    <w:rsid w:val="00713B63"/>
    <w:rsid w:val="00715C64"/>
    <w:rsid w:val="007170AD"/>
    <w:rsid w:val="00717CDC"/>
    <w:rsid w:val="00717E59"/>
    <w:rsid w:val="007202A8"/>
    <w:rsid w:val="007209B0"/>
    <w:rsid w:val="0072209B"/>
    <w:rsid w:val="0072415A"/>
    <w:rsid w:val="00724167"/>
    <w:rsid w:val="0072503B"/>
    <w:rsid w:val="00731C36"/>
    <w:rsid w:val="00732AA7"/>
    <w:rsid w:val="0073566D"/>
    <w:rsid w:val="00735AEE"/>
    <w:rsid w:val="00735C26"/>
    <w:rsid w:val="00736421"/>
    <w:rsid w:val="007369B8"/>
    <w:rsid w:val="00740364"/>
    <w:rsid w:val="00740667"/>
    <w:rsid w:val="00740885"/>
    <w:rsid w:val="007415FC"/>
    <w:rsid w:val="007432B0"/>
    <w:rsid w:val="00744F17"/>
    <w:rsid w:val="00745B54"/>
    <w:rsid w:val="00746463"/>
    <w:rsid w:val="007474C4"/>
    <w:rsid w:val="007603B5"/>
    <w:rsid w:val="00760C4C"/>
    <w:rsid w:val="0076114E"/>
    <w:rsid w:val="00763E88"/>
    <w:rsid w:val="00765C46"/>
    <w:rsid w:val="00767943"/>
    <w:rsid w:val="00767AEB"/>
    <w:rsid w:val="0077028B"/>
    <w:rsid w:val="007724D3"/>
    <w:rsid w:val="0077460C"/>
    <w:rsid w:val="007748B1"/>
    <w:rsid w:val="0077574D"/>
    <w:rsid w:val="00775D48"/>
    <w:rsid w:val="00780085"/>
    <w:rsid w:val="0078045C"/>
    <w:rsid w:val="007812BF"/>
    <w:rsid w:val="0078309A"/>
    <w:rsid w:val="00786C07"/>
    <w:rsid w:val="007926DB"/>
    <w:rsid w:val="0079277E"/>
    <w:rsid w:val="00795801"/>
    <w:rsid w:val="007974E6"/>
    <w:rsid w:val="00797C59"/>
    <w:rsid w:val="007A0301"/>
    <w:rsid w:val="007A0DBE"/>
    <w:rsid w:val="007A11DA"/>
    <w:rsid w:val="007A2FB2"/>
    <w:rsid w:val="007A33DE"/>
    <w:rsid w:val="007A3638"/>
    <w:rsid w:val="007A6132"/>
    <w:rsid w:val="007B1647"/>
    <w:rsid w:val="007B2E24"/>
    <w:rsid w:val="007B3176"/>
    <w:rsid w:val="007B37CE"/>
    <w:rsid w:val="007B4B52"/>
    <w:rsid w:val="007B7942"/>
    <w:rsid w:val="007C260F"/>
    <w:rsid w:val="007C3F88"/>
    <w:rsid w:val="007D0077"/>
    <w:rsid w:val="007D0E22"/>
    <w:rsid w:val="007D1398"/>
    <w:rsid w:val="007D6914"/>
    <w:rsid w:val="007D748A"/>
    <w:rsid w:val="007E0A29"/>
    <w:rsid w:val="007E0B15"/>
    <w:rsid w:val="007E0DA6"/>
    <w:rsid w:val="007E21BD"/>
    <w:rsid w:val="007E21C9"/>
    <w:rsid w:val="007E3185"/>
    <w:rsid w:val="007E4333"/>
    <w:rsid w:val="007E50D5"/>
    <w:rsid w:val="007E767D"/>
    <w:rsid w:val="007F0ED7"/>
    <w:rsid w:val="007F2A4B"/>
    <w:rsid w:val="007F463B"/>
    <w:rsid w:val="007F50A6"/>
    <w:rsid w:val="007F55CC"/>
    <w:rsid w:val="007F5A82"/>
    <w:rsid w:val="007F6669"/>
    <w:rsid w:val="007F675C"/>
    <w:rsid w:val="007F76E2"/>
    <w:rsid w:val="00800B6D"/>
    <w:rsid w:val="008025C2"/>
    <w:rsid w:val="008029F0"/>
    <w:rsid w:val="00803448"/>
    <w:rsid w:val="00805263"/>
    <w:rsid w:val="00807B72"/>
    <w:rsid w:val="00811DC9"/>
    <w:rsid w:val="0081653C"/>
    <w:rsid w:val="0082127C"/>
    <w:rsid w:val="00822245"/>
    <w:rsid w:val="008226AF"/>
    <w:rsid w:val="00823BA3"/>
    <w:rsid w:val="008256E5"/>
    <w:rsid w:val="00826322"/>
    <w:rsid w:val="00826953"/>
    <w:rsid w:val="0082737C"/>
    <w:rsid w:val="00827CA0"/>
    <w:rsid w:val="00831402"/>
    <w:rsid w:val="0083205C"/>
    <w:rsid w:val="0083222B"/>
    <w:rsid w:val="00837454"/>
    <w:rsid w:val="00837A4F"/>
    <w:rsid w:val="00841330"/>
    <w:rsid w:val="00842CCA"/>
    <w:rsid w:val="00843878"/>
    <w:rsid w:val="00844458"/>
    <w:rsid w:val="008456EB"/>
    <w:rsid w:val="00845BB5"/>
    <w:rsid w:val="00850D76"/>
    <w:rsid w:val="00851841"/>
    <w:rsid w:val="00851DEB"/>
    <w:rsid w:val="00852AA7"/>
    <w:rsid w:val="00854B24"/>
    <w:rsid w:val="008553BA"/>
    <w:rsid w:val="008562C0"/>
    <w:rsid w:val="00857137"/>
    <w:rsid w:val="008577D2"/>
    <w:rsid w:val="00857C33"/>
    <w:rsid w:val="0086411B"/>
    <w:rsid w:val="00867D8D"/>
    <w:rsid w:val="0087385A"/>
    <w:rsid w:val="0087633B"/>
    <w:rsid w:val="00877422"/>
    <w:rsid w:val="00877482"/>
    <w:rsid w:val="00885701"/>
    <w:rsid w:val="00886178"/>
    <w:rsid w:val="00887243"/>
    <w:rsid w:val="00887E3D"/>
    <w:rsid w:val="0089040D"/>
    <w:rsid w:val="008919BE"/>
    <w:rsid w:val="0089458B"/>
    <w:rsid w:val="008958A3"/>
    <w:rsid w:val="00896952"/>
    <w:rsid w:val="00896C6B"/>
    <w:rsid w:val="008A1235"/>
    <w:rsid w:val="008A2C26"/>
    <w:rsid w:val="008A37AE"/>
    <w:rsid w:val="008A5812"/>
    <w:rsid w:val="008A5E0F"/>
    <w:rsid w:val="008A635E"/>
    <w:rsid w:val="008A636D"/>
    <w:rsid w:val="008A6897"/>
    <w:rsid w:val="008A6EE6"/>
    <w:rsid w:val="008A705F"/>
    <w:rsid w:val="008A75AF"/>
    <w:rsid w:val="008A77EE"/>
    <w:rsid w:val="008B2FFE"/>
    <w:rsid w:val="008B717D"/>
    <w:rsid w:val="008B7EBF"/>
    <w:rsid w:val="008C0726"/>
    <w:rsid w:val="008C0CE3"/>
    <w:rsid w:val="008C0EF4"/>
    <w:rsid w:val="008C254D"/>
    <w:rsid w:val="008C3381"/>
    <w:rsid w:val="008C35F8"/>
    <w:rsid w:val="008C5887"/>
    <w:rsid w:val="008C5D59"/>
    <w:rsid w:val="008C78AB"/>
    <w:rsid w:val="008C7A61"/>
    <w:rsid w:val="008D0B38"/>
    <w:rsid w:val="008D1131"/>
    <w:rsid w:val="008D2912"/>
    <w:rsid w:val="008D6A4E"/>
    <w:rsid w:val="008E07F7"/>
    <w:rsid w:val="008E1FB9"/>
    <w:rsid w:val="008E24F5"/>
    <w:rsid w:val="008E2EA1"/>
    <w:rsid w:val="008E7739"/>
    <w:rsid w:val="008E7ABA"/>
    <w:rsid w:val="008E7CA2"/>
    <w:rsid w:val="008F0540"/>
    <w:rsid w:val="008F06D9"/>
    <w:rsid w:val="008F083F"/>
    <w:rsid w:val="008F0888"/>
    <w:rsid w:val="008F1881"/>
    <w:rsid w:val="008F2372"/>
    <w:rsid w:val="008F314D"/>
    <w:rsid w:val="008F324D"/>
    <w:rsid w:val="008F34EF"/>
    <w:rsid w:val="0090266A"/>
    <w:rsid w:val="00904859"/>
    <w:rsid w:val="00905704"/>
    <w:rsid w:val="009123D3"/>
    <w:rsid w:val="009145DC"/>
    <w:rsid w:val="00915F18"/>
    <w:rsid w:val="00916F5B"/>
    <w:rsid w:val="009172C6"/>
    <w:rsid w:val="00923FA2"/>
    <w:rsid w:val="00924359"/>
    <w:rsid w:val="009261FA"/>
    <w:rsid w:val="009276A5"/>
    <w:rsid w:val="00935259"/>
    <w:rsid w:val="00940E08"/>
    <w:rsid w:val="00942158"/>
    <w:rsid w:val="00943616"/>
    <w:rsid w:val="00945DD2"/>
    <w:rsid w:val="00945FEC"/>
    <w:rsid w:val="00950B2D"/>
    <w:rsid w:val="00950FCA"/>
    <w:rsid w:val="009524AC"/>
    <w:rsid w:val="00952911"/>
    <w:rsid w:val="009529CB"/>
    <w:rsid w:val="00952D0A"/>
    <w:rsid w:val="00954BA1"/>
    <w:rsid w:val="0095519B"/>
    <w:rsid w:val="00957142"/>
    <w:rsid w:val="0096043F"/>
    <w:rsid w:val="009604E6"/>
    <w:rsid w:val="009614FF"/>
    <w:rsid w:val="00961C05"/>
    <w:rsid w:val="00962027"/>
    <w:rsid w:val="009625A0"/>
    <w:rsid w:val="00964CB7"/>
    <w:rsid w:val="00965E00"/>
    <w:rsid w:val="009753C3"/>
    <w:rsid w:val="0097569F"/>
    <w:rsid w:val="00977BAA"/>
    <w:rsid w:val="00980415"/>
    <w:rsid w:val="00980A05"/>
    <w:rsid w:val="00981B6C"/>
    <w:rsid w:val="0098460E"/>
    <w:rsid w:val="00984692"/>
    <w:rsid w:val="0098519E"/>
    <w:rsid w:val="0098643C"/>
    <w:rsid w:val="009868A5"/>
    <w:rsid w:val="00990360"/>
    <w:rsid w:val="009905DF"/>
    <w:rsid w:val="00990FDD"/>
    <w:rsid w:val="0099273E"/>
    <w:rsid w:val="009934BB"/>
    <w:rsid w:val="00993890"/>
    <w:rsid w:val="00994291"/>
    <w:rsid w:val="00996371"/>
    <w:rsid w:val="00997651"/>
    <w:rsid w:val="00997741"/>
    <w:rsid w:val="009A017F"/>
    <w:rsid w:val="009A5B64"/>
    <w:rsid w:val="009A6495"/>
    <w:rsid w:val="009B2AB5"/>
    <w:rsid w:val="009B465F"/>
    <w:rsid w:val="009B55B3"/>
    <w:rsid w:val="009B5E7F"/>
    <w:rsid w:val="009B674E"/>
    <w:rsid w:val="009B6EB2"/>
    <w:rsid w:val="009C36A3"/>
    <w:rsid w:val="009C5070"/>
    <w:rsid w:val="009C5B65"/>
    <w:rsid w:val="009C770D"/>
    <w:rsid w:val="009C7DD4"/>
    <w:rsid w:val="009D2C9E"/>
    <w:rsid w:val="009D398B"/>
    <w:rsid w:val="009D4188"/>
    <w:rsid w:val="009D6D21"/>
    <w:rsid w:val="009E0DEA"/>
    <w:rsid w:val="009E1564"/>
    <w:rsid w:val="009E5233"/>
    <w:rsid w:val="009E62CA"/>
    <w:rsid w:val="009E6ED7"/>
    <w:rsid w:val="009F1885"/>
    <w:rsid w:val="009F206A"/>
    <w:rsid w:val="009F2A80"/>
    <w:rsid w:val="009F2C21"/>
    <w:rsid w:val="009F3AB8"/>
    <w:rsid w:val="009F499D"/>
    <w:rsid w:val="009F7459"/>
    <w:rsid w:val="00A0080B"/>
    <w:rsid w:val="00A013AF"/>
    <w:rsid w:val="00A019E6"/>
    <w:rsid w:val="00A01E01"/>
    <w:rsid w:val="00A041FA"/>
    <w:rsid w:val="00A06143"/>
    <w:rsid w:val="00A06EE5"/>
    <w:rsid w:val="00A07717"/>
    <w:rsid w:val="00A07A61"/>
    <w:rsid w:val="00A10482"/>
    <w:rsid w:val="00A10725"/>
    <w:rsid w:val="00A10ACD"/>
    <w:rsid w:val="00A1222E"/>
    <w:rsid w:val="00A12369"/>
    <w:rsid w:val="00A13A9B"/>
    <w:rsid w:val="00A1459E"/>
    <w:rsid w:val="00A150AC"/>
    <w:rsid w:val="00A178B6"/>
    <w:rsid w:val="00A221DD"/>
    <w:rsid w:val="00A23B89"/>
    <w:rsid w:val="00A24596"/>
    <w:rsid w:val="00A249A6"/>
    <w:rsid w:val="00A24D9E"/>
    <w:rsid w:val="00A256A1"/>
    <w:rsid w:val="00A27828"/>
    <w:rsid w:val="00A31862"/>
    <w:rsid w:val="00A32EDB"/>
    <w:rsid w:val="00A353B1"/>
    <w:rsid w:val="00A36FD7"/>
    <w:rsid w:val="00A37580"/>
    <w:rsid w:val="00A40773"/>
    <w:rsid w:val="00A41090"/>
    <w:rsid w:val="00A4336F"/>
    <w:rsid w:val="00A437EB"/>
    <w:rsid w:val="00A4493D"/>
    <w:rsid w:val="00A45FE7"/>
    <w:rsid w:val="00A469D4"/>
    <w:rsid w:val="00A47498"/>
    <w:rsid w:val="00A47902"/>
    <w:rsid w:val="00A506EF"/>
    <w:rsid w:val="00A52F74"/>
    <w:rsid w:val="00A5765C"/>
    <w:rsid w:val="00A57DB3"/>
    <w:rsid w:val="00A61A1C"/>
    <w:rsid w:val="00A621DD"/>
    <w:rsid w:val="00A63A92"/>
    <w:rsid w:val="00A63D69"/>
    <w:rsid w:val="00A65DE8"/>
    <w:rsid w:val="00A6619C"/>
    <w:rsid w:val="00A66F73"/>
    <w:rsid w:val="00A72151"/>
    <w:rsid w:val="00A74A20"/>
    <w:rsid w:val="00A85212"/>
    <w:rsid w:val="00A86212"/>
    <w:rsid w:val="00A927F5"/>
    <w:rsid w:val="00A94CDA"/>
    <w:rsid w:val="00A977A0"/>
    <w:rsid w:val="00AA2732"/>
    <w:rsid w:val="00AA3C6E"/>
    <w:rsid w:val="00AB0732"/>
    <w:rsid w:val="00AB5F3E"/>
    <w:rsid w:val="00AB7098"/>
    <w:rsid w:val="00AC20BF"/>
    <w:rsid w:val="00AC278A"/>
    <w:rsid w:val="00AC3160"/>
    <w:rsid w:val="00AC4541"/>
    <w:rsid w:val="00AC4BA8"/>
    <w:rsid w:val="00AC6D79"/>
    <w:rsid w:val="00AC6FCA"/>
    <w:rsid w:val="00AC7DB1"/>
    <w:rsid w:val="00AD0B4E"/>
    <w:rsid w:val="00AD0E8E"/>
    <w:rsid w:val="00AD2731"/>
    <w:rsid w:val="00AD572C"/>
    <w:rsid w:val="00AD5D5D"/>
    <w:rsid w:val="00AD6677"/>
    <w:rsid w:val="00AD68E1"/>
    <w:rsid w:val="00AE206C"/>
    <w:rsid w:val="00AE2FF9"/>
    <w:rsid w:val="00AE3388"/>
    <w:rsid w:val="00AE5E22"/>
    <w:rsid w:val="00AF099F"/>
    <w:rsid w:val="00AF28B9"/>
    <w:rsid w:val="00AF2E22"/>
    <w:rsid w:val="00AF3E62"/>
    <w:rsid w:val="00AF563A"/>
    <w:rsid w:val="00AF5DEB"/>
    <w:rsid w:val="00AF6CD1"/>
    <w:rsid w:val="00AF7255"/>
    <w:rsid w:val="00AF77B1"/>
    <w:rsid w:val="00B035E9"/>
    <w:rsid w:val="00B037A9"/>
    <w:rsid w:val="00B0769E"/>
    <w:rsid w:val="00B105F1"/>
    <w:rsid w:val="00B152E5"/>
    <w:rsid w:val="00B16E73"/>
    <w:rsid w:val="00B20086"/>
    <w:rsid w:val="00B22CFB"/>
    <w:rsid w:val="00B22E18"/>
    <w:rsid w:val="00B2463B"/>
    <w:rsid w:val="00B24D06"/>
    <w:rsid w:val="00B26DED"/>
    <w:rsid w:val="00B26EE8"/>
    <w:rsid w:val="00B27A97"/>
    <w:rsid w:val="00B306F8"/>
    <w:rsid w:val="00B307CD"/>
    <w:rsid w:val="00B314A6"/>
    <w:rsid w:val="00B33273"/>
    <w:rsid w:val="00B34321"/>
    <w:rsid w:val="00B35CD7"/>
    <w:rsid w:val="00B36FF8"/>
    <w:rsid w:val="00B37264"/>
    <w:rsid w:val="00B4062F"/>
    <w:rsid w:val="00B42E0A"/>
    <w:rsid w:val="00B43D10"/>
    <w:rsid w:val="00B4419C"/>
    <w:rsid w:val="00B4507C"/>
    <w:rsid w:val="00B46BC3"/>
    <w:rsid w:val="00B50BBE"/>
    <w:rsid w:val="00B50EDF"/>
    <w:rsid w:val="00B52C1B"/>
    <w:rsid w:val="00B5344A"/>
    <w:rsid w:val="00B53450"/>
    <w:rsid w:val="00B54E47"/>
    <w:rsid w:val="00B6233C"/>
    <w:rsid w:val="00B62640"/>
    <w:rsid w:val="00B642C3"/>
    <w:rsid w:val="00B65E27"/>
    <w:rsid w:val="00B667D8"/>
    <w:rsid w:val="00B67E85"/>
    <w:rsid w:val="00B70EC3"/>
    <w:rsid w:val="00B719FD"/>
    <w:rsid w:val="00B8050B"/>
    <w:rsid w:val="00B8066E"/>
    <w:rsid w:val="00B80C23"/>
    <w:rsid w:val="00B83155"/>
    <w:rsid w:val="00B83881"/>
    <w:rsid w:val="00B838ED"/>
    <w:rsid w:val="00B83B0C"/>
    <w:rsid w:val="00B8508A"/>
    <w:rsid w:val="00B872F8"/>
    <w:rsid w:val="00B873A0"/>
    <w:rsid w:val="00B87719"/>
    <w:rsid w:val="00B91B87"/>
    <w:rsid w:val="00B9314E"/>
    <w:rsid w:val="00B9317E"/>
    <w:rsid w:val="00B947CB"/>
    <w:rsid w:val="00B95D17"/>
    <w:rsid w:val="00B96BFC"/>
    <w:rsid w:val="00B97683"/>
    <w:rsid w:val="00B97A9A"/>
    <w:rsid w:val="00BA2873"/>
    <w:rsid w:val="00BA37E2"/>
    <w:rsid w:val="00BA411F"/>
    <w:rsid w:val="00BA5B65"/>
    <w:rsid w:val="00BA65FA"/>
    <w:rsid w:val="00BA74D7"/>
    <w:rsid w:val="00BB0835"/>
    <w:rsid w:val="00BB124A"/>
    <w:rsid w:val="00BB1440"/>
    <w:rsid w:val="00BB3445"/>
    <w:rsid w:val="00BB4345"/>
    <w:rsid w:val="00BB50C9"/>
    <w:rsid w:val="00BB736F"/>
    <w:rsid w:val="00BC0760"/>
    <w:rsid w:val="00BC0B5F"/>
    <w:rsid w:val="00BC1016"/>
    <w:rsid w:val="00BC2B1C"/>
    <w:rsid w:val="00BC304C"/>
    <w:rsid w:val="00BC45E0"/>
    <w:rsid w:val="00BC625E"/>
    <w:rsid w:val="00BC6631"/>
    <w:rsid w:val="00BC692B"/>
    <w:rsid w:val="00BC781C"/>
    <w:rsid w:val="00BC7D94"/>
    <w:rsid w:val="00BD34F8"/>
    <w:rsid w:val="00BD39C8"/>
    <w:rsid w:val="00BD47B5"/>
    <w:rsid w:val="00BD6681"/>
    <w:rsid w:val="00BE156D"/>
    <w:rsid w:val="00BE2BE9"/>
    <w:rsid w:val="00BE515B"/>
    <w:rsid w:val="00BE668E"/>
    <w:rsid w:val="00BE6B80"/>
    <w:rsid w:val="00BF0692"/>
    <w:rsid w:val="00BF0F31"/>
    <w:rsid w:val="00BF20CE"/>
    <w:rsid w:val="00BF455C"/>
    <w:rsid w:val="00BF4CB0"/>
    <w:rsid w:val="00BF715C"/>
    <w:rsid w:val="00BF7FC6"/>
    <w:rsid w:val="00C0634E"/>
    <w:rsid w:val="00C1070C"/>
    <w:rsid w:val="00C10C9D"/>
    <w:rsid w:val="00C11A36"/>
    <w:rsid w:val="00C149D6"/>
    <w:rsid w:val="00C158D9"/>
    <w:rsid w:val="00C16409"/>
    <w:rsid w:val="00C17FB9"/>
    <w:rsid w:val="00C20B06"/>
    <w:rsid w:val="00C21371"/>
    <w:rsid w:val="00C220E8"/>
    <w:rsid w:val="00C23F36"/>
    <w:rsid w:val="00C241D8"/>
    <w:rsid w:val="00C24A9B"/>
    <w:rsid w:val="00C2769E"/>
    <w:rsid w:val="00C27768"/>
    <w:rsid w:val="00C277CA"/>
    <w:rsid w:val="00C30DE4"/>
    <w:rsid w:val="00C36573"/>
    <w:rsid w:val="00C368A0"/>
    <w:rsid w:val="00C401C9"/>
    <w:rsid w:val="00C41105"/>
    <w:rsid w:val="00C432FB"/>
    <w:rsid w:val="00C44771"/>
    <w:rsid w:val="00C45DF9"/>
    <w:rsid w:val="00C5649A"/>
    <w:rsid w:val="00C56856"/>
    <w:rsid w:val="00C57EFA"/>
    <w:rsid w:val="00C6068B"/>
    <w:rsid w:val="00C616D7"/>
    <w:rsid w:val="00C61930"/>
    <w:rsid w:val="00C61AE6"/>
    <w:rsid w:val="00C61F09"/>
    <w:rsid w:val="00C633A0"/>
    <w:rsid w:val="00C66757"/>
    <w:rsid w:val="00C66947"/>
    <w:rsid w:val="00C676FC"/>
    <w:rsid w:val="00C730AF"/>
    <w:rsid w:val="00C75698"/>
    <w:rsid w:val="00C81507"/>
    <w:rsid w:val="00C8194B"/>
    <w:rsid w:val="00C832EA"/>
    <w:rsid w:val="00C84FDD"/>
    <w:rsid w:val="00C8583E"/>
    <w:rsid w:val="00C8606C"/>
    <w:rsid w:val="00C87007"/>
    <w:rsid w:val="00C879DE"/>
    <w:rsid w:val="00C87DAC"/>
    <w:rsid w:val="00C90172"/>
    <w:rsid w:val="00C93830"/>
    <w:rsid w:val="00CA10C5"/>
    <w:rsid w:val="00CA1C00"/>
    <w:rsid w:val="00CA2560"/>
    <w:rsid w:val="00CA25B0"/>
    <w:rsid w:val="00CA3FC2"/>
    <w:rsid w:val="00CA47AF"/>
    <w:rsid w:val="00CA7707"/>
    <w:rsid w:val="00CB1E2B"/>
    <w:rsid w:val="00CB3C09"/>
    <w:rsid w:val="00CB47D0"/>
    <w:rsid w:val="00CB5BE2"/>
    <w:rsid w:val="00CC40CC"/>
    <w:rsid w:val="00CC4815"/>
    <w:rsid w:val="00CC4BB1"/>
    <w:rsid w:val="00CC6536"/>
    <w:rsid w:val="00CD026F"/>
    <w:rsid w:val="00CD036E"/>
    <w:rsid w:val="00CD3233"/>
    <w:rsid w:val="00CD3286"/>
    <w:rsid w:val="00CD3465"/>
    <w:rsid w:val="00CD438E"/>
    <w:rsid w:val="00CD54C2"/>
    <w:rsid w:val="00CE2CC5"/>
    <w:rsid w:val="00CE4BB8"/>
    <w:rsid w:val="00CE5E1C"/>
    <w:rsid w:val="00CF1A92"/>
    <w:rsid w:val="00CF30C5"/>
    <w:rsid w:val="00CF5725"/>
    <w:rsid w:val="00CF573C"/>
    <w:rsid w:val="00D04287"/>
    <w:rsid w:val="00D05C62"/>
    <w:rsid w:val="00D074D5"/>
    <w:rsid w:val="00D07B79"/>
    <w:rsid w:val="00D10CE8"/>
    <w:rsid w:val="00D116CB"/>
    <w:rsid w:val="00D133FA"/>
    <w:rsid w:val="00D167D8"/>
    <w:rsid w:val="00D20218"/>
    <w:rsid w:val="00D21DDA"/>
    <w:rsid w:val="00D24192"/>
    <w:rsid w:val="00D24442"/>
    <w:rsid w:val="00D25570"/>
    <w:rsid w:val="00D26068"/>
    <w:rsid w:val="00D270A9"/>
    <w:rsid w:val="00D27A5C"/>
    <w:rsid w:val="00D3464D"/>
    <w:rsid w:val="00D351A6"/>
    <w:rsid w:val="00D363A8"/>
    <w:rsid w:val="00D379C3"/>
    <w:rsid w:val="00D415E1"/>
    <w:rsid w:val="00D41736"/>
    <w:rsid w:val="00D43C71"/>
    <w:rsid w:val="00D45021"/>
    <w:rsid w:val="00D53965"/>
    <w:rsid w:val="00D53C55"/>
    <w:rsid w:val="00D53E3A"/>
    <w:rsid w:val="00D552BC"/>
    <w:rsid w:val="00D55552"/>
    <w:rsid w:val="00D56AC7"/>
    <w:rsid w:val="00D60E63"/>
    <w:rsid w:val="00D61B87"/>
    <w:rsid w:val="00D63ECF"/>
    <w:rsid w:val="00D64CFA"/>
    <w:rsid w:val="00D659AF"/>
    <w:rsid w:val="00D65CAD"/>
    <w:rsid w:val="00D66320"/>
    <w:rsid w:val="00D66777"/>
    <w:rsid w:val="00D66821"/>
    <w:rsid w:val="00D66CA8"/>
    <w:rsid w:val="00D7195D"/>
    <w:rsid w:val="00D71D50"/>
    <w:rsid w:val="00D736CC"/>
    <w:rsid w:val="00D77800"/>
    <w:rsid w:val="00D80180"/>
    <w:rsid w:val="00D8031C"/>
    <w:rsid w:val="00D81BA8"/>
    <w:rsid w:val="00D830EE"/>
    <w:rsid w:val="00D836E2"/>
    <w:rsid w:val="00D86B07"/>
    <w:rsid w:val="00D914A7"/>
    <w:rsid w:val="00D918AD"/>
    <w:rsid w:val="00D91B19"/>
    <w:rsid w:val="00D92F16"/>
    <w:rsid w:val="00D94D56"/>
    <w:rsid w:val="00D9512F"/>
    <w:rsid w:val="00D952CA"/>
    <w:rsid w:val="00D95964"/>
    <w:rsid w:val="00D95CA6"/>
    <w:rsid w:val="00DA01F8"/>
    <w:rsid w:val="00DA0811"/>
    <w:rsid w:val="00DA093D"/>
    <w:rsid w:val="00DA48F3"/>
    <w:rsid w:val="00DA621E"/>
    <w:rsid w:val="00DA75BD"/>
    <w:rsid w:val="00DB5C43"/>
    <w:rsid w:val="00DB6862"/>
    <w:rsid w:val="00DC12C0"/>
    <w:rsid w:val="00DC45D0"/>
    <w:rsid w:val="00DC5C16"/>
    <w:rsid w:val="00DC7740"/>
    <w:rsid w:val="00DD1423"/>
    <w:rsid w:val="00DD21AB"/>
    <w:rsid w:val="00DD32CC"/>
    <w:rsid w:val="00DD3A9D"/>
    <w:rsid w:val="00DD4EA9"/>
    <w:rsid w:val="00DD5F68"/>
    <w:rsid w:val="00DE2E36"/>
    <w:rsid w:val="00DE50E1"/>
    <w:rsid w:val="00DF0C56"/>
    <w:rsid w:val="00DF15FB"/>
    <w:rsid w:val="00DF1A40"/>
    <w:rsid w:val="00DF1ED8"/>
    <w:rsid w:val="00DF2BDD"/>
    <w:rsid w:val="00DF3144"/>
    <w:rsid w:val="00DF7AD2"/>
    <w:rsid w:val="00DF7C86"/>
    <w:rsid w:val="00E00E53"/>
    <w:rsid w:val="00E04E8F"/>
    <w:rsid w:val="00E05D7C"/>
    <w:rsid w:val="00E05FB0"/>
    <w:rsid w:val="00E07445"/>
    <w:rsid w:val="00E07C7C"/>
    <w:rsid w:val="00E110C8"/>
    <w:rsid w:val="00E1334D"/>
    <w:rsid w:val="00E14B07"/>
    <w:rsid w:val="00E159D6"/>
    <w:rsid w:val="00E15CDC"/>
    <w:rsid w:val="00E15FBD"/>
    <w:rsid w:val="00E22911"/>
    <w:rsid w:val="00E240AE"/>
    <w:rsid w:val="00E24BAE"/>
    <w:rsid w:val="00E25785"/>
    <w:rsid w:val="00E2730C"/>
    <w:rsid w:val="00E27B27"/>
    <w:rsid w:val="00E3089B"/>
    <w:rsid w:val="00E31DA3"/>
    <w:rsid w:val="00E3203D"/>
    <w:rsid w:val="00E34012"/>
    <w:rsid w:val="00E400D1"/>
    <w:rsid w:val="00E43F25"/>
    <w:rsid w:val="00E445B1"/>
    <w:rsid w:val="00E45A7E"/>
    <w:rsid w:val="00E4660E"/>
    <w:rsid w:val="00E47329"/>
    <w:rsid w:val="00E50597"/>
    <w:rsid w:val="00E537B6"/>
    <w:rsid w:val="00E560F3"/>
    <w:rsid w:val="00E60515"/>
    <w:rsid w:val="00E6192D"/>
    <w:rsid w:val="00E622A4"/>
    <w:rsid w:val="00E63764"/>
    <w:rsid w:val="00E655CF"/>
    <w:rsid w:val="00E707FA"/>
    <w:rsid w:val="00E721CC"/>
    <w:rsid w:val="00E72B83"/>
    <w:rsid w:val="00E7400C"/>
    <w:rsid w:val="00E749F1"/>
    <w:rsid w:val="00E76CB2"/>
    <w:rsid w:val="00E83A9F"/>
    <w:rsid w:val="00E84251"/>
    <w:rsid w:val="00E843AA"/>
    <w:rsid w:val="00E84C3D"/>
    <w:rsid w:val="00E922EF"/>
    <w:rsid w:val="00E92EFC"/>
    <w:rsid w:val="00E959C4"/>
    <w:rsid w:val="00E9736B"/>
    <w:rsid w:val="00EA0321"/>
    <w:rsid w:val="00EA372E"/>
    <w:rsid w:val="00EA3E57"/>
    <w:rsid w:val="00EA446E"/>
    <w:rsid w:val="00EA5F63"/>
    <w:rsid w:val="00EA650F"/>
    <w:rsid w:val="00EA6980"/>
    <w:rsid w:val="00EB0CE4"/>
    <w:rsid w:val="00EB14C7"/>
    <w:rsid w:val="00EB57BA"/>
    <w:rsid w:val="00EB6E77"/>
    <w:rsid w:val="00EC25C6"/>
    <w:rsid w:val="00EC27E4"/>
    <w:rsid w:val="00EC6207"/>
    <w:rsid w:val="00ED1C32"/>
    <w:rsid w:val="00ED1FA6"/>
    <w:rsid w:val="00ED2CD2"/>
    <w:rsid w:val="00ED4706"/>
    <w:rsid w:val="00ED549E"/>
    <w:rsid w:val="00ED7D6F"/>
    <w:rsid w:val="00EE27A9"/>
    <w:rsid w:val="00EE5063"/>
    <w:rsid w:val="00EE69AD"/>
    <w:rsid w:val="00EE7CF3"/>
    <w:rsid w:val="00EF3807"/>
    <w:rsid w:val="00EF6217"/>
    <w:rsid w:val="00F0098A"/>
    <w:rsid w:val="00F0310A"/>
    <w:rsid w:val="00F04145"/>
    <w:rsid w:val="00F04881"/>
    <w:rsid w:val="00F04E64"/>
    <w:rsid w:val="00F06053"/>
    <w:rsid w:val="00F1183C"/>
    <w:rsid w:val="00F11F42"/>
    <w:rsid w:val="00F120C8"/>
    <w:rsid w:val="00F12ADC"/>
    <w:rsid w:val="00F12B2B"/>
    <w:rsid w:val="00F1347E"/>
    <w:rsid w:val="00F13E03"/>
    <w:rsid w:val="00F17F09"/>
    <w:rsid w:val="00F20331"/>
    <w:rsid w:val="00F21934"/>
    <w:rsid w:val="00F2326D"/>
    <w:rsid w:val="00F23290"/>
    <w:rsid w:val="00F250B5"/>
    <w:rsid w:val="00F2678B"/>
    <w:rsid w:val="00F278CF"/>
    <w:rsid w:val="00F27D79"/>
    <w:rsid w:val="00F3242A"/>
    <w:rsid w:val="00F33ACF"/>
    <w:rsid w:val="00F34141"/>
    <w:rsid w:val="00F34E97"/>
    <w:rsid w:val="00F35219"/>
    <w:rsid w:val="00F36FD9"/>
    <w:rsid w:val="00F43007"/>
    <w:rsid w:val="00F43A0E"/>
    <w:rsid w:val="00F43A67"/>
    <w:rsid w:val="00F47936"/>
    <w:rsid w:val="00F4796B"/>
    <w:rsid w:val="00F51543"/>
    <w:rsid w:val="00F523F2"/>
    <w:rsid w:val="00F5338E"/>
    <w:rsid w:val="00F54568"/>
    <w:rsid w:val="00F610CE"/>
    <w:rsid w:val="00F61654"/>
    <w:rsid w:val="00F624CD"/>
    <w:rsid w:val="00F64D3E"/>
    <w:rsid w:val="00F71070"/>
    <w:rsid w:val="00F71E9E"/>
    <w:rsid w:val="00F7256B"/>
    <w:rsid w:val="00F74A63"/>
    <w:rsid w:val="00F7541D"/>
    <w:rsid w:val="00F75D4E"/>
    <w:rsid w:val="00F76C8B"/>
    <w:rsid w:val="00F80FEC"/>
    <w:rsid w:val="00F814FF"/>
    <w:rsid w:val="00F82B99"/>
    <w:rsid w:val="00F855E1"/>
    <w:rsid w:val="00F872C7"/>
    <w:rsid w:val="00F9037B"/>
    <w:rsid w:val="00F9062A"/>
    <w:rsid w:val="00F90799"/>
    <w:rsid w:val="00F90C6F"/>
    <w:rsid w:val="00F934AD"/>
    <w:rsid w:val="00F9541A"/>
    <w:rsid w:val="00F96169"/>
    <w:rsid w:val="00F96403"/>
    <w:rsid w:val="00FA05F2"/>
    <w:rsid w:val="00FA1B6E"/>
    <w:rsid w:val="00FA1C44"/>
    <w:rsid w:val="00FA1C69"/>
    <w:rsid w:val="00FA3F69"/>
    <w:rsid w:val="00FA5A87"/>
    <w:rsid w:val="00FA75EC"/>
    <w:rsid w:val="00FB10B9"/>
    <w:rsid w:val="00FB28A7"/>
    <w:rsid w:val="00FB4CD7"/>
    <w:rsid w:val="00FB530A"/>
    <w:rsid w:val="00FC0A07"/>
    <w:rsid w:val="00FC1B95"/>
    <w:rsid w:val="00FC21A1"/>
    <w:rsid w:val="00FC2CF5"/>
    <w:rsid w:val="00FC38D2"/>
    <w:rsid w:val="00FC7A6A"/>
    <w:rsid w:val="00FD0858"/>
    <w:rsid w:val="00FD1125"/>
    <w:rsid w:val="00FD1A22"/>
    <w:rsid w:val="00FD2545"/>
    <w:rsid w:val="00FD37D6"/>
    <w:rsid w:val="00FD4466"/>
    <w:rsid w:val="00FD777D"/>
    <w:rsid w:val="00FE04E9"/>
    <w:rsid w:val="00FE0E6A"/>
    <w:rsid w:val="00FE0EBE"/>
    <w:rsid w:val="00FE1D43"/>
    <w:rsid w:val="00FE1D5F"/>
    <w:rsid w:val="00FE2502"/>
    <w:rsid w:val="00FE5638"/>
    <w:rsid w:val="00FE612C"/>
    <w:rsid w:val="00FE6B8F"/>
    <w:rsid w:val="00FE7747"/>
    <w:rsid w:val="00FE7DED"/>
    <w:rsid w:val="00FE7F59"/>
    <w:rsid w:val="00FF2BB9"/>
    <w:rsid w:val="00FF2DFE"/>
    <w:rsid w:val="00FF3921"/>
    <w:rsid w:val="00FF587F"/>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B8D39"/>
  <w15:chartTrackingRefBased/>
  <w15:docId w15:val="{511EF078-7BB9-45FC-87D2-8C9AAB6F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AB3"/>
    <w:rPr>
      <w:rFonts w:ascii="Ping LCG" w:hAnsi="Ping LCG" w:cs="Times New Roman (Body CS)"/>
    </w:rPr>
  </w:style>
  <w:style w:type="paragraph" w:styleId="1">
    <w:name w:val="heading 1"/>
    <w:basedOn w:val="a"/>
    <w:next w:val="a"/>
    <w:link w:val="1Char"/>
    <w:autoRedefine/>
    <w:uiPriority w:val="9"/>
    <w:qFormat/>
    <w:rsid w:val="000E10BE"/>
    <w:pPr>
      <w:keepNext/>
      <w:keepLines/>
      <w:spacing w:before="240"/>
      <w:outlineLvl w:val="0"/>
    </w:pPr>
    <w:rPr>
      <w:rFonts w:eastAsiaTheme="majorEastAsia" w:cstheme="majorBidi"/>
      <w:color w:val="2F5496" w:themeColor="accent1" w:themeShade="BF"/>
      <w:sz w:val="32"/>
      <w:szCs w:val="32"/>
    </w:rPr>
  </w:style>
  <w:style w:type="paragraph" w:styleId="2">
    <w:name w:val="heading 2"/>
    <w:basedOn w:val="a"/>
    <w:next w:val="a"/>
    <w:link w:val="2Char"/>
    <w:uiPriority w:val="9"/>
    <w:unhideWhenUsed/>
    <w:qFormat/>
    <w:rsid w:val="000E10BE"/>
    <w:pPr>
      <w:keepNext/>
      <w:keepLines/>
      <w:spacing w:before="40"/>
      <w:outlineLvl w:val="1"/>
    </w:pPr>
    <w:rPr>
      <w:rFonts w:eastAsiaTheme="majorEastAsia"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0E10BE"/>
    <w:pPr>
      <w:contextualSpacing/>
    </w:pPr>
    <w:rPr>
      <w:rFonts w:eastAsiaTheme="majorEastAsia" w:cstheme="majorBidi"/>
      <w:spacing w:val="-10"/>
      <w:kern w:val="28"/>
      <w:sz w:val="56"/>
      <w:szCs w:val="56"/>
    </w:rPr>
  </w:style>
  <w:style w:type="character" w:customStyle="1" w:styleId="Char">
    <w:name w:val="Τίτλος Char"/>
    <w:basedOn w:val="a0"/>
    <w:link w:val="a3"/>
    <w:uiPriority w:val="10"/>
    <w:rsid w:val="000E10BE"/>
    <w:rPr>
      <w:rFonts w:ascii="Ping LCG" w:eastAsiaTheme="majorEastAsia" w:hAnsi="Ping LCG" w:cstheme="majorBidi"/>
      <w:spacing w:val="-10"/>
      <w:kern w:val="28"/>
      <w:sz w:val="56"/>
      <w:szCs w:val="56"/>
    </w:rPr>
  </w:style>
  <w:style w:type="character" w:customStyle="1" w:styleId="1Char">
    <w:name w:val="Επικεφαλίδα 1 Char"/>
    <w:basedOn w:val="a0"/>
    <w:link w:val="1"/>
    <w:uiPriority w:val="9"/>
    <w:rsid w:val="000E10BE"/>
    <w:rPr>
      <w:rFonts w:ascii="Ping LCG" w:eastAsiaTheme="majorEastAsia" w:hAnsi="Ping LCG" w:cstheme="majorBidi"/>
      <w:color w:val="2F5496" w:themeColor="accent1" w:themeShade="BF"/>
      <w:sz w:val="32"/>
      <w:szCs w:val="32"/>
    </w:rPr>
  </w:style>
  <w:style w:type="character" w:customStyle="1" w:styleId="2Char">
    <w:name w:val="Επικεφαλίδα 2 Char"/>
    <w:basedOn w:val="a0"/>
    <w:link w:val="2"/>
    <w:uiPriority w:val="9"/>
    <w:rsid w:val="000E10BE"/>
    <w:rPr>
      <w:rFonts w:ascii="Ping LCG" w:eastAsiaTheme="majorEastAsia" w:hAnsi="Ping LCG" w:cstheme="majorBidi"/>
      <w:color w:val="2F5496" w:themeColor="accent1" w:themeShade="BF"/>
      <w:sz w:val="26"/>
      <w:szCs w:val="26"/>
    </w:rPr>
  </w:style>
  <w:style w:type="paragraph" w:styleId="a4">
    <w:name w:val="Subtitle"/>
    <w:basedOn w:val="a"/>
    <w:next w:val="a"/>
    <w:link w:val="Char0"/>
    <w:autoRedefine/>
    <w:uiPriority w:val="11"/>
    <w:qFormat/>
    <w:rsid w:val="000E10BE"/>
    <w:pPr>
      <w:numPr>
        <w:ilvl w:val="1"/>
      </w:numPr>
      <w:spacing w:after="160"/>
    </w:pPr>
    <w:rPr>
      <w:rFonts w:eastAsiaTheme="minorEastAsia" w:cstheme="minorBidi"/>
      <w:color w:val="5A5A5A" w:themeColor="text1" w:themeTint="A5"/>
      <w:spacing w:val="15"/>
      <w:sz w:val="22"/>
      <w:szCs w:val="22"/>
    </w:rPr>
  </w:style>
  <w:style w:type="character" w:customStyle="1" w:styleId="Char0">
    <w:name w:val="Υπότιτλος Char"/>
    <w:basedOn w:val="a0"/>
    <w:link w:val="a4"/>
    <w:uiPriority w:val="11"/>
    <w:rsid w:val="000E10BE"/>
    <w:rPr>
      <w:rFonts w:ascii="Ping LCG" w:eastAsiaTheme="minorEastAsia" w:hAnsi="Ping LCG"/>
      <w:color w:val="5A5A5A" w:themeColor="text1" w:themeTint="A5"/>
      <w:spacing w:val="15"/>
      <w:sz w:val="22"/>
      <w:szCs w:val="22"/>
    </w:rPr>
  </w:style>
  <w:style w:type="character" w:styleId="a5">
    <w:name w:val="Subtle Emphasis"/>
    <w:basedOn w:val="a0"/>
    <w:uiPriority w:val="19"/>
    <w:qFormat/>
    <w:rsid w:val="000E10BE"/>
    <w:rPr>
      <w:rFonts w:ascii="Ping LCG" w:hAnsi="Ping LCG"/>
      <w:i/>
      <w:iCs/>
      <w:color w:val="404040" w:themeColor="text1" w:themeTint="BF"/>
    </w:rPr>
  </w:style>
  <w:style w:type="character" w:styleId="a6">
    <w:name w:val="Book Title"/>
    <w:basedOn w:val="a0"/>
    <w:uiPriority w:val="33"/>
    <w:qFormat/>
    <w:rsid w:val="000E10BE"/>
    <w:rPr>
      <w:rFonts w:ascii="Ping LCG" w:hAnsi="Ping LCG"/>
      <w:b/>
      <w:bCs/>
      <w:i/>
      <w:iCs/>
      <w:spacing w:val="5"/>
    </w:rPr>
  </w:style>
  <w:style w:type="character" w:styleId="a7">
    <w:name w:val="Intense Reference"/>
    <w:basedOn w:val="a0"/>
    <w:uiPriority w:val="32"/>
    <w:qFormat/>
    <w:rsid w:val="000E10BE"/>
    <w:rPr>
      <w:rFonts w:ascii="Ping LCG" w:hAnsi="Ping LCG"/>
      <w:b/>
      <w:bCs/>
      <w:smallCaps/>
      <w:color w:val="4472C4" w:themeColor="accent1"/>
      <w:spacing w:val="5"/>
    </w:rPr>
  </w:style>
  <w:style w:type="character" w:styleId="a8">
    <w:name w:val="Subtle Reference"/>
    <w:basedOn w:val="a0"/>
    <w:uiPriority w:val="31"/>
    <w:qFormat/>
    <w:rsid w:val="000E10BE"/>
    <w:rPr>
      <w:rFonts w:ascii="Ping LCG" w:hAnsi="Ping LCG"/>
      <w:smallCaps/>
      <w:color w:val="5A5A5A" w:themeColor="text1" w:themeTint="A5"/>
    </w:rPr>
  </w:style>
  <w:style w:type="character" w:styleId="a9">
    <w:name w:val="Strong"/>
    <w:basedOn w:val="a0"/>
    <w:uiPriority w:val="22"/>
    <w:qFormat/>
    <w:rsid w:val="000E10BE"/>
    <w:rPr>
      <w:rFonts w:ascii="Ping LCG" w:hAnsi="Ping LCG"/>
      <w:b/>
      <w:bCs/>
    </w:rPr>
  </w:style>
  <w:style w:type="paragraph" w:styleId="aa">
    <w:name w:val="Quote"/>
    <w:basedOn w:val="a"/>
    <w:next w:val="a"/>
    <w:link w:val="Char1"/>
    <w:uiPriority w:val="29"/>
    <w:qFormat/>
    <w:rsid w:val="000E10BE"/>
    <w:pPr>
      <w:spacing w:before="200" w:after="160"/>
      <w:ind w:left="864" w:right="864"/>
      <w:jc w:val="center"/>
    </w:pPr>
    <w:rPr>
      <w:i/>
      <w:iCs/>
      <w:color w:val="404040" w:themeColor="text1" w:themeTint="BF"/>
    </w:rPr>
  </w:style>
  <w:style w:type="character" w:customStyle="1" w:styleId="Char1">
    <w:name w:val="Απόσπασμα Char"/>
    <w:basedOn w:val="a0"/>
    <w:link w:val="aa"/>
    <w:uiPriority w:val="29"/>
    <w:rsid w:val="000E10BE"/>
    <w:rPr>
      <w:rFonts w:ascii="Ping LCG" w:hAnsi="Ping LCG" w:cs="Times New Roman (Body CS)"/>
      <w:i/>
      <w:iCs/>
      <w:color w:val="404040" w:themeColor="text1" w:themeTint="BF"/>
    </w:rPr>
  </w:style>
  <w:style w:type="paragraph" w:styleId="ab">
    <w:name w:val="Intense Quote"/>
    <w:basedOn w:val="a"/>
    <w:next w:val="a"/>
    <w:link w:val="Char2"/>
    <w:uiPriority w:val="30"/>
    <w:qFormat/>
    <w:rsid w:val="000E10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2">
    <w:name w:val="Έντονο απόσπ. Char"/>
    <w:basedOn w:val="a0"/>
    <w:link w:val="ab"/>
    <w:uiPriority w:val="30"/>
    <w:rsid w:val="000E10BE"/>
    <w:rPr>
      <w:rFonts w:ascii="Ping LCG" w:hAnsi="Ping LCG" w:cs="Times New Roman (Body CS)"/>
      <w:i/>
      <w:iCs/>
      <w:color w:val="4472C4" w:themeColor="accent1"/>
    </w:rPr>
  </w:style>
  <w:style w:type="character" w:styleId="ac">
    <w:name w:val="Emphasis"/>
    <w:basedOn w:val="a0"/>
    <w:uiPriority w:val="20"/>
    <w:qFormat/>
    <w:rsid w:val="000E10BE"/>
    <w:rPr>
      <w:rFonts w:ascii="Ping LCG" w:hAnsi="Ping LCG"/>
      <w:i/>
      <w:iCs/>
    </w:rPr>
  </w:style>
  <w:style w:type="character" w:styleId="ad">
    <w:name w:val="Intense Emphasis"/>
    <w:basedOn w:val="a0"/>
    <w:uiPriority w:val="21"/>
    <w:qFormat/>
    <w:rsid w:val="000E10BE"/>
    <w:rPr>
      <w:rFonts w:ascii="Ping LCG" w:hAnsi="Ping LCG"/>
      <w:i/>
      <w:iCs/>
      <w:color w:val="4472C4" w:themeColor="accent1"/>
    </w:rPr>
  </w:style>
  <w:style w:type="paragraph" w:styleId="ae">
    <w:name w:val="header"/>
    <w:basedOn w:val="a"/>
    <w:link w:val="Char3"/>
    <w:uiPriority w:val="99"/>
    <w:unhideWhenUsed/>
    <w:rsid w:val="000E10BE"/>
    <w:pPr>
      <w:tabs>
        <w:tab w:val="center" w:pos="4680"/>
        <w:tab w:val="right" w:pos="9360"/>
      </w:tabs>
    </w:pPr>
  </w:style>
  <w:style w:type="character" w:customStyle="1" w:styleId="Char3">
    <w:name w:val="Κεφαλίδα Char"/>
    <w:basedOn w:val="a0"/>
    <w:link w:val="ae"/>
    <w:uiPriority w:val="99"/>
    <w:rsid w:val="000E10BE"/>
    <w:rPr>
      <w:rFonts w:ascii="Ping LCG" w:hAnsi="Ping LCG" w:cs="Times New Roman (Body CS)"/>
    </w:rPr>
  </w:style>
  <w:style w:type="paragraph" w:styleId="af">
    <w:name w:val="footer"/>
    <w:basedOn w:val="a"/>
    <w:link w:val="Char4"/>
    <w:uiPriority w:val="99"/>
    <w:unhideWhenUsed/>
    <w:rsid w:val="000E10BE"/>
    <w:pPr>
      <w:tabs>
        <w:tab w:val="center" w:pos="4680"/>
        <w:tab w:val="right" w:pos="9360"/>
      </w:tabs>
    </w:pPr>
  </w:style>
  <w:style w:type="character" w:customStyle="1" w:styleId="Char4">
    <w:name w:val="Υποσέλιδο Char"/>
    <w:basedOn w:val="a0"/>
    <w:link w:val="af"/>
    <w:uiPriority w:val="99"/>
    <w:rsid w:val="000E10BE"/>
    <w:rPr>
      <w:rFonts w:ascii="Ping LCG" w:hAnsi="Ping LCG" w:cs="Times New Roman (Body CS)"/>
    </w:rPr>
  </w:style>
  <w:style w:type="table" w:styleId="af0">
    <w:name w:val="Table Grid"/>
    <w:basedOn w:val="a1"/>
    <w:uiPriority w:val="39"/>
    <w:rsid w:val="00BB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249A6"/>
    <w:pPr>
      <w:ind w:left="720"/>
      <w:contextualSpacing/>
    </w:pPr>
    <w:rPr>
      <w:rFonts w:ascii="Times New Roman" w:eastAsia="Times New Roman" w:hAnsi="Times New Roman" w:cs="Times New Roman"/>
      <w:lang w:val="el-GR" w:eastAsia="el-GR"/>
    </w:rPr>
  </w:style>
  <w:style w:type="paragraph" w:customStyle="1" w:styleId="Default">
    <w:name w:val="Default"/>
    <w:rsid w:val="00A249A6"/>
    <w:pPr>
      <w:autoSpaceDE w:val="0"/>
      <w:autoSpaceDN w:val="0"/>
      <w:adjustRightInd w:val="0"/>
    </w:pPr>
    <w:rPr>
      <w:rFonts w:ascii="Calibri" w:hAnsi="Calibri" w:cs="Calibri"/>
      <w:color w:val="000000"/>
      <w:lang w:val="el-GR"/>
    </w:rPr>
  </w:style>
  <w:style w:type="character" w:styleId="-">
    <w:name w:val="Hyperlink"/>
    <w:basedOn w:val="a0"/>
    <w:uiPriority w:val="99"/>
    <w:unhideWhenUsed/>
    <w:rsid w:val="00A249A6"/>
    <w:rPr>
      <w:color w:val="0563C1" w:themeColor="hyperlink"/>
      <w:u w:val="single"/>
    </w:rPr>
  </w:style>
  <w:style w:type="character" w:styleId="af2">
    <w:name w:val="Unresolved Mention"/>
    <w:basedOn w:val="a0"/>
    <w:uiPriority w:val="99"/>
    <w:semiHidden/>
    <w:unhideWhenUsed/>
    <w:rsid w:val="00A249A6"/>
    <w:rPr>
      <w:color w:val="605E5C"/>
      <w:shd w:val="clear" w:color="auto" w:fill="E1DFDD"/>
    </w:rPr>
  </w:style>
  <w:style w:type="paragraph" w:styleId="af3">
    <w:name w:val="Balloon Text"/>
    <w:basedOn w:val="a"/>
    <w:link w:val="Char5"/>
    <w:uiPriority w:val="99"/>
    <w:semiHidden/>
    <w:unhideWhenUsed/>
    <w:rsid w:val="00173777"/>
    <w:rPr>
      <w:rFonts w:ascii="Segoe UI" w:hAnsi="Segoe UI" w:cs="Segoe UI"/>
      <w:sz w:val="18"/>
      <w:szCs w:val="18"/>
    </w:rPr>
  </w:style>
  <w:style w:type="character" w:customStyle="1" w:styleId="Char5">
    <w:name w:val="Κείμενο πλαισίου Char"/>
    <w:basedOn w:val="a0"/>
    <w:link w:val="af3"/>
    <w:uiPriority w:val="99"/>
    <w:semiHidden/>
    <w:rsid w:val="00173777"/>
    <w:rPr>
      <w:rFonts w:ascii="Segoe UI" w:hAnsi="Segoe UI" w:cs="Segoe UI"/>
      <w:sz w:val="18"/>
      <w:szCs w:val="18"/>
    </w:rPr>
  </w:style>
  <w:style w:type="character" w:styleId="af4">
    <w:name w:val="annotation reference"/>
    <w:basedOn w:val="a0"/>
    <w:uiPriority w:val="99"/>
    <w:semiHidden/>
    <w:unhideWhenUsed/>
    <w:rsid w:val="002F17FD"/>
    <w:rPr>
      <w:sz w:val="16"/>
      <w:szCs w:val="16"/>
    </w:rPr>
  </w:style>
  <w:style w:type="paragraph" w:styleId="af5">
    <w:name w:val="annotation text"/>
    <w:basedOn w:val="a"/>
    <w:link w:val="Char6"/>
    <w:uiPriority w:val="99"/>
    <w:semiHidden/>
    <w:unhideWhenUsed/>
    <w:rsid w:val="002F17FD"/>
    <w:rPr>
      <w:sz w:val="20"/>
      <w:szCs w:val="20"/>
    </w:rPr>
  </w:style>
  <w:style w:type="character" w:customStyle="1" w:styleId="Char6">
    <w:name w:val="Κείμενο σχολίου Char"/>
    <w:basedOn w:val="a0"/>
    <w:link w:val="af5"/>
    <w:uiPriority w:val="99"/>
    <w:semiHidden/>
    <w:rsid w:val="002F17FD"/>
    <w:rPr>
      <w:rFonts w:ascii="Ping LCG" w:hAnsi="Ping LCG" w:cs="Times New Roman (Body CS)"/>
      <w:sz w:val="20"/>
      <w:szCs w:val="20"/>
    </w:rPr>
  </w:style>
  <w:style w:type="paragraph" w:styleId="af6">
    <w:name w:val="annotation subject"/>
    <w:basedOn w:val="af5"/>
    <w:next w:val="af5"/>
    <w:link w:val="Char7"/>
    <w:uiPriority w:val="99"/>
    <w:semiHidden/>
    <w:unhideWhenUsed/>
    <w:rsid w:val="002F17FD"/>
    <w:rPr>
      <w:b/>
      <w:bCs/>
    </w:rPr>
  </w:style>
  <w:style w:type="character" w:customStyle="1" w:styleId="Char7">
    <w:name w:val="Θέμα σχολίου Char"/>
    <w:basedOn w:val="Char6"/>
    <w:link w:val="af6"/>
    <w:uiPriority w:val="99"/>
    <w:semiHidden/>
    <w:rsid w:val="002F17FD"/>
    <w:rPr>
      <w:rFonts w:ascii="Ping LCG" w:hAnsi="Ping LCG" w:cs="Times New Roman (Body CS)"/>
      <w:b/>
      <w:bCs/>
      <w:sz w:val="20"/>
      <w:szCs w:val="20"/>
    </w:rPr>
  </w:style>
  <w:style w:type="paragraph" w:styleId="af7">
    <w:name w:val="Revision"/>
    <w:hidden/>
    <w:uiPriority w:val="99"/>
    <w:semiHidden/>
    <w:rsid w:val="002F17FD"/>
    <w:rPr>
      <w:rFonts w:ascii="Ping LCG" w:hAnsi="Ping LCG" w:cs="Times New Roman (Body CS)"/>
    </w:rPr>
  </w:style>
  <w:style w:type="paragraph" w:styleId="af8">
    <w:name w:val="footnote text"/>
    <w:basedOn w:val="a"/>
    <w:link w:val="Char8"/>
    <w:uiPriority w:val="99"/>
    <w:semiHidden/>
    <w:unhideWhenUsed/>
    <w:rsid w:val="00FE7DED"/>
    <w:rPr>
      <w:sz w:val="20"/>
      <w:szCs w:val="20"/>
    </w:rPr>
  </w:style>
  <w:style w:type="character" w:customStyle="1" w:styleId="Char8">
    <w:name w:val="Κείμενο υποσημείωσης Char"/>
    <w:basedOn w:val="a0"/>
    <w:link w:val="af8"/>
    <w:uiPriority w:val="99"/>
    <w:semiHidden/>
    <w:rsid w:val="00FE7DED"/>
    <w:rPr>
      <w:rFonts w:ascii="Ping LCG" w:hAnsi="Ping LCG" w:cs="Times New Roman (Body CS)"/>
      <w:sz w:val="20"/>
      <w:szCs w:val="20"/>
    </w:rPr>
  </w:style>
  <w:style w:type="character" w:styleId="af9">
    <w:name w:val="footnote reference"/>
    <w:basedOn w:val="a0"/>
    <w:uiPriority w:val="99"/>
    <w:semiHidden/>
    <w:unhideWhenUsed/>
    <w:rsid w:val="00FE7DED"/>
    <w:rPr>
      <w:vertAlign w:val="superscript"/>
    </w:rPr>
  </w:style>
  <w:style w:type="paragraph" w:styleId="Web">
    <w:name w:val="Normal (Web)"/>
    <w:basedOn w:val="a"/>
    <w:uiPriority w:val="99"/>
    <w:unhideWhenUsed/>
    <w:rsid w:val="00486A4F"/>
    <w:pPr>
      <w:spacing w:before="100" w:beforeAutospacing="1" w:after="100" w:afterAutospacing="1"/>
    </w:pPr>
    <w:rPr>
      <w:rFonts w:ascii="Times New Roman" w:eastAsia="Times New Roman" w:hAnsi="Times New Roman"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101">
      <w:bodyDiv w:val="1"/>
      <w:marLeft w:val="0"/>
      <w:marRight w:val="0"/>
      <w:marTop w:val="0"/>
      <w:marBottom w:val="0"/>
      <w:divBdr>
        <w:top w:val="none" w:sz="0" w:space="0" w:color="auto"/>
        <w:left w:val="none" w:sz="0" w:space="0" w:color="auto"/>
        <w:bottom w:val="none" w:sz="0" w:space="0" w:color="auto"/>
        <w:right w:val="none" w:sz="0" w:space="0" w:color="auto"/>
      </w:divBdr>
    </w:div>
    <w:div w:id="445849241">
      <w:bodyDiv w:val="1"/>
      <w:marLeft w:val="0"/>
      <w:marRight w:val="0"/>
      <w:marTop w:val="0"/>
      <w:marBottom w:val="0"/>
      <w:divBdr>
        <w:top w:val="none" w:sz="0" w:space="0" w:color="auto"/>
        <w:left w:val="none" w:sz="0" w:space="0" w:color="auto"/>
        <w:bottom w:val="none" w:sz="0" w:space="0" w:color="auto"/>
        <w:right w:val="none" w:sz="0" w:space="0" w:color="auto"/>
      </w:divBdr>
    </w:div>
    <w:div w:id="473371395">
      <w:bodyDiv w:val="1"/>
      <w:marLeft w:val="0"/>
      <w:marRight w:val="0"/>
      <w:marTop w:val="0"/>
      <w:marBottom w:val="0"/>
      <w:divBdr>
        <w:top w:val="none" w:sz="0" w:space="0" w:color="auto"/>
        <w:left w:val="none" w:sz="0" w:space="0" w:color="auto"/>
        <w:bottom w:val="none" w:sz="0" w:space="0" w:color="auto"/>
        <w:right w:val="none" w:sz="0" w:space="0" w:color="auto"/>
      </w:divBdr>
    </w:div>
    <w:div w:id="575211679">
      <w:bodyDiv w:val="1"/>
      <w:marLeft w:val="0"/>
      <w:marRight w:val="0"/>
      <w:marTop w:val="0"/>
      <w:marBottom w:val="0"/>
      <w:divBdr>
        <w:top w:val="none" w:sz="0" w:space="0" w:color="auto"/>
        <w:left w:val="none" w:sz="0" w:space="0" w:color="auto"/>
        <w:bottom w:val="none" w:sz="0" w:space="0" w:color="auto"/>
        <w:right w:val="none" w:sz="0" w:space="0" w:color="auto"/>
      </w:divBdr>
    </w:div>
    <w:div w:id="660236966">
      <w:bodyDiv w:val="1"/>
      <w:marLeft w:val="0"/>
      <w:marRight w:val="0"/>
      <w:marTop w:val="0"/>
      <w:marBottom w:val="0"/>
      <w:divBdr>
        <w:top w:val="none" w:sz="0" w:space="0" w:color="auto"/>
        <w:left w:val="none" w:sz="0" w:space="0" w:color="auto"/>
        <w:bottom w:val="none" w:sz="0" w:space="0" w:color="auto"/>
        <w:right w:val="none" w:sz="0" w:space="0" w:color="auto"/>
      </w:divBdr>
    </w:div>
    <w:div w:id="699428838">
      <w:bodyDiv w:val="1"/>
      <w:marLeft w:val="0"/>
      <w:marRight w:val="0"/>
      <w:marTop w:val="0"/>
      <w:marBottom w:val="0"/>
      <w:divBdr>
        <w:top w:val="none" w:sz="0" w:space="0" w:color="auto"/>
        <w:left w:val="none" w:sz="0" w:space="0" w:color="auto"/>
        <w:bottom w:val="none" w:sz="0" w:space="0" w:color="auto"/>
        <w:right w:val="none" w:sz="0" w:space="0" w:color="auto"/>
      </w:divBdr>
    </w:div>
    <w:div w:id="769356194">
      <w:bodyDiv w:val="1"/>
      <w:marLeft w:val="0"/>
      <w:marRight w:val="0"/>
      <w:marTop w:val="0"/>
      <w:marBottom w:val="0"/>
      <w:divBdr>
        <w:top w:val="none" w:sz="0" w:space="0" w:color="auto"/>
        <w:left w:val="none" w:sz="0" w:space="0" w:color="auto"/>
        <w:bottom w:val="none" w:sz="0" w:space="0" w:color="auto"/>
        <w:right w:val="none" w:sz="0" w:space="0" w:color="auto"/>
      </w:divBdr>
    </w:div>
    <w:div w:id="1034816461">
      <w:bodyDiv w:val="1"/>
      <w:marLeft w:val="0"/>
      <w:marRight w:val="0"/>
      <w:marTop w:val="0"/>
      <w:marBottom w:val="0"/>
      <w:divBdr>
        <w:top w:val="none" w:sz="0" w:space="0" w:color="auto"/>
        <w:left w:val="none" w:sz="0" w:space="0" w:color="auto"/>
        <w:bottom w:val="none" w:sz="0" w:space="0" w:color="auto"/>
        <w:right w:val="none" w:sz="0" w:space="0" w:color="auto"/>
      </w:divBdr>
    </w:div>
    <w:div w:id="1063985980">
      <w:bodyDiv w:val="1"/>
      <w:marLeft w:val="0"/>
      <w:marRight w:val="0"/>
      <w:marTop w:val="0"/>
      <w:marBottom w:val="0"/>
      <w:divBdr>
        <w:top w:val="none" w:sz="0" w:space="0" w:color="auto"/>
        <w:left w:val="none" w:sz="0" w:space="0" w:color="auto"/>
        <w:bottom w:val="none" w:sz="0" w:space="0" w:color="auto"/>
        <w:right w:val="none" w:sz="0" w:space="0" w:color="auto"/>
      </w:divBdr>
      <w:divsChild>
        <w:div w:id="107311080">
          <w:marLeft w:val="547"/>
          <w:marRight w:val="0"/>
          <w:marTop w:val="0"/>
          <w:marBottom w:val="200"/>
          <w:divBdr>
            <w:top w:val="none" w:sz="0" w:space="0" w:color="auto"/>
            <w:left w:val="none" w:sz="0" w:space="0" w:color="auto"/>
            <w:bottom w:val="none" w:sz="0" w:space="0" w:color="auto"/>
            <w:right w:val="none" w:sz="0" w:space="0" w:color="auto"/>
          </w:divBdr>
        </w:div>
      </w:divsChild>
    </w:div>
    <w:div w:id="1165707547">
      <w:bodyDiv w:val="1"/>
      <w:marLeft w:val="0"/>
      <w:marRight w:val="0"/>
      <w:marTop w:val="0"/>
      <w:marBottom w:val="0"/>
      <w:divBdr>
        <w:top w:val="none" w:sz="0" w:space="0" w:color="auto"/>
        <w:left w:val="none" w:sz="0" w:space="0" w:color="auto"/>
        <w:bottom w:val="none" w:sz="0" w:space="0" w:color="auto"/>
        <w:right w:val="none" w:sz="0" w:space="0" w:color="auto"/>
      </w:divBdr>
    </w:div>
    <w:div w:id="1187906504">
      <w:bodyDiv w:val="1"/>
      <w:marLeft w:val="0"/>
      <w:marRight w:val="0"/>
      <w:marTop w:val="0"/>
      <w:marBottom w:val="0"/>
      <w:divBdr>
        <w:top w:val="none" w:sz="0" w:space="0" w:color="auto"/>
        <w:left w:val="none" w:sz="0" w:space="0" w:color="auto"/>
        <w:bottom w:val="none" w:sz="0" w:space="0" w:color="auto"/>
        <w:right w:val="none" w:sz="0" w:space="0" w:color="auto"/>
      </w:divBdr>
    </w:div>
    <w:div w:id="1280062805">
      <w:bodyDiv w:val="1"/>
      <w:marLeft w:val="0"/>
      <w:marRight w:val="0"/>
      <w:marTop w:val="0"/>
      <w:marBottom w:val="0"/>
      <w:divBdr>
        <w:top w:val="none" w:sz="0" w:space="0" w:color="auto"/>
        <w:left w:val="none" w:sz="0" w:space="0" w:color="auto"/>
        <w:bottom w:val="none" w:sz="0" w:space="0" w:color="auto"/>
        <w:right w:val="none" w:sz="0" w:space="0" w:color="auto"/>
      </w:divBdr>
    </w:div>
    <w:div w:id="1349989360">
      <w:bodyDiv w:val="1"/>
      <w:marLeft w:val="0"/>
      <w:marRight w:val="0"/>
      <w:marTop w:val="0"/>
      <w:marBottom w:val="0"/>
      <w:divBdr>
        <w:top w:val="none" w:sz="0" w:space="0" w:color="auto"/>
        <w:left w:val="none" w:sz="0" w:space="0" w:color="auto"/>
        <w:bottom w:val="none" w:sz="0" w:space="0" w:color="auto"/>
        <w:right w:val="none" w:sz="0" w:space="0" w:color="auto"/>
      </w:divBdr>
      <w:divsChild>
        <w:div w:id="1889759098">
          <w:marLeft w:val="0"/>
          <w:marRight w:val="0"/>
          <w:marTop w:val="0"/>
          <w:marBottom w:val="0"/>
          <w:divBdr>
            <w:top w:val="none" w:sz="0" w:space="0" w:color="auto"/>
            <w:left w:val="none" w:sz="0" w:space="0" w:color="auto"/>
            <w:bottom w:val="none" w:sz="0" w:space="0" w:color="auto"/>
            <w:right w:val="none" w:sz="0" w:space="0" w:color="auto"/>
          </w:divBdr>
        </w:div>
      </w:divsChild>
    </w:div>
    <w:div w:id="1432117443">
      <w:bodyDiv w:val="1"/>
      <w:marLeft w:val="0"/>
      <w:marRight w:val="0"/>
      <w:marTop w:val="0"/>
      <w:marBottom w:val="0"/>
      <w:divBdr>
        <w:top w:val="none" w:sz="0" w:space="0" w:color="auto"/>
        <w:left w:val="none" w:sz="0" w:space="0" w:color="auto"/>
        <w:bottom w:val="none" w:sz="0" w:space="0" w:color="auto"/>
        <w:right w:val="none" w:sz="0" w:space="0" w:color="auto"/>
      </w:divBdr>
    </w:div>
    <w:div w:id="1588491341">
      <w:bodyDiv w:val="1"/>
      <w:marLeft w:val="0"/>
      <w:marRight w:val="0"/>
      <w:marTop w:val="0"/>
      <w:marBottom w:val="0"/>
      <w:divBdr>
        <w:top w:val="none" w:sz="0" w:space="0" w:color="auto"/>
        <w:left w:val="none" w:sz="0" w:space="0" w:color="auto"/>
        <w:bottom w:val="none" w:sz="0" w:space="0" w:color="auto"/>
        <w:right w:val="none" w:sz="0" w:space="0" w:color="auto"/>
      </w:divBdr>
    </w:div>
    <w:div w:id="1807236013">
      <w:bodyDiv w:val="1"/>
      <w:marLeft w:val="0"/>
      <w:marRight w:val="0"/>
      <w:marTop w:val="0"/>
      <w:marBottom w:val="0"/>
      <w:divBdr>
        <w:top w:val="none" w:sz="0" w:space="0" w:color="auto"/>
        <w:left w:val="none" w:sz="0" w:space="0" w:color="auto"/>
        <w:bottom w:val="none" w:sz="0" w:space="0" w:color="auto"/>
        <w:right w:val="none" w:sz="0" w:space="0" w:color="auto"/>
      </w:divBdr>
    </w:div>
    <w:div w:id="1877549142">
      <w:bodyDiv w:val="1"/>
      <w:marLeft w:val="0"/>
      <w:marRight w:val="0"/>
      <w:marTop w:val="0"/>
      <w:marBottom w:val="0"/>
      <w:divBdr>
        <w:top w:val="none" w:sz="0" w:space="0" w:color="auto"/>
        <w:left w:val="none" w:sz="0" w:space="0" w:color="auto"/>
        <w:bottom w:val="none" w:sz="0" w:space="0" w:color="auto"/>
        <w:right w:val="none" w:sz="0" w:space="0" w:color="auto"/>
      </w:divBdr>
    </w:div>
    <w:div w:id="2005469848">
      <w:bodyDiv w:val="1"/>
      <w:marLeft w:val="0"/>
      <w:marRight w:val="0"/>
      <w:marTop w:val="0"/>
      <w:marBottom w:val="0"/>
      <w:divBdr>
        <w:top w:val="none" w:sz="0" w:space="0" w:color="auto"/>
        <w:left w:val="none" w:sz="0" w:space="0" w:color="auto"/>
        <w:bottom w:val="none" w:sz="0" w:space="0" w:color="auto"/>
        <w:right w:val="none" w:sz="0" w:space="0" w:color="auto"/>
      </w:divBdr>
    </w:div>
    <w:div w:id="2085953214">
      <w:bodyDiv w:val="1"/>
      <w:marLeft w:val="0"/>
      <w:marRight w:val="0"/>
      <w:marTop w:val="0"/>
      <w:marBottom w:val="0"/>
      <w:divBdr>
        <w:top w:val="none" w:sz="0" w:space="0" w:color="auto"/>
        <w:left w:val="none" w:sz="0" w:space="0" w:color="auto"/>
        <w:bottom w:val="none" w:sz="0" w:space="0" w:color="auto"/>
        <w:right w:val="none" w:sz="0" w:space="0" w:color="auto"/>
      </w:divBdr>
    </w:div>
    <w:div w:id="21236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atzakis@dei.com.gr"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521E6-6944-47C9-BF9C-A251100F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3486</Words>
  <Characters>18830</Characters>
  <Application>Microsoft Office Word</Application>
  <DocSecurity>0</DocSecurity>
  <Lines>156</Lines>
  <Paragraphs>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Peggy</cp:lastModifiedBy>
  <cp:revision>2</cp:revision>
  <cp:lastPrinted>2022-04-01T09:50:00Z</cp:lastPrinted>
  <dcterms:created xsi:type="dcterms:W3CDTF">2022-04-05T14:20:00Z</dcterms:created>
  <dcterms:modified xsi:type="dcterms:W3CDTF">2022-04-05T14:20:00Z</dcterms:modified>
</cp:coreProperties>
</file>