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112F8" w14:textId="732D4BBE" w:rsidR="00BC3B63" w:rsidRPr="00151920" w:rsidRDefault="76EB2516" w:rsidP="00151920">
      <w:pPr>
        <w:spacing w:after="0"/>
        <w:jc w:val="center"/>
        <w:rPr>
          <w:rFonts w:eastAsia="Calibri" w:cstheme="minorHAnsi"/>
          <w:b/>
          <w:lang w:eastAsia="el-GR"/>
        </w:rPr>
      </w:pPr>
      <w:bookmarkStart w:id="0" w:name="_GoBack"/>
      <w:bookmarkEnd w:id="0"/>
      <w:r w:rsidRPr="00151920">
        <w:rPr>
          <w:rFonts w:eastAsia="Calibri" w:cstheme="minorHAnsi"/>
          <w:b/>
          <w:lang w:eastAsia="el-GR"/>
        </w:rPr>
        <w:t>ΤΡΟΠΟΛΟΓΙΕΣ/ΠΡΟΣΘΗΚΕΣ</w:t>
      </w:r>
    </w:p>
    <w:p w14:paraId="123788A4" w14:textId="4E39E0FC" w:rsidR="00BC3B63" w:rsidRPr="00151920" w:rsidRDefault="76EB2516" w:rsidP="00151920">
      <w:pPr>
        <w:spacing w:after="0"/>
        <w:jc w:val="center"/>
        <w:rPr>
          <w:rFonts w:eastAsia="Calibri" w:cstheme="minorHAnsi"/>
          <w:b/>
          <w:lang w:eastAsia="el-GR"/>
        </w:rPr>
      </w:pPr>
      <w:r w:rsidRPr="00151920">
        <w:rPr>
          <w:rFonts w:eastAsia="Calibri" w:cstheme="minorHAnsi"/>
          <w:b/>
          <w:lang w:eastAsia="el-GR"/>
        </w:rPr>
        <w:t xml:space="preserve"> Στο Σχέδιο Νόμου</w:t>
      </w:r>
    </w:p>
    <w:p w14:paraId="56F92EE1" w14:textId="222113ED" w:rsidR="00BC3B63" w:rsidRPr="00151920" w:rsidRDefault="76EB2516" w:rsidP="00151920">
      <w:pPr>
        <w:spacing w:after="0"/>
        <w:jc w:val="center"/>
        <w:rPr>
          <w:rFonts w:eastAsia="Calibri" w:cstheme="minorHAnsi"/>
          <w:b/>
          <w:lang w:eastAsia="el-GR"/>
        </w:rPr>
      </w:pPr>
      <w:r w:rsidRPr="00151920">
        <w:rPr>
          <w:rFonts w:eastAsia="Calibri" w:cstheme="minorHAnsi"/>
          <w:b/>
          <w:lang w:eastAsia="el-GR"/>
        </w:rPr>
        <w:t xml:space="preserve">του Υπουργείου Ανάπτυξης </w:t>
      </w:r>
    </w:p>
    <w:p w14:paraId="3DDBFBFB" w14:textId="6990B704" w:rsidR="00571FCB" w:rsidRPr="00151920" w:rsidRDefault="76EB2516" w:rsidP="00151920">
      <w:pPr>
        <w:pBdr>
          <w:bottom w:val="single" w:sz="4" w:space="1" w:color="auto"/>
        </w:pBdr>
        <w:tabs>
          <w:tab w:val="left" w:pos="6390"/>
        </w:tabs>
        <w:spacing w:after="0"/>
        <w:jc w:val="center"/>
        <w:rPr>
          <w:rFonts w:eastAsia="Calibri" w:cstheme="minorHAnsi"/>
          <w:lang w:eastAsia="el-GR"/>
        </w:rPr>
      </w:pPr>
      <w:r w:rsidRPr="00151920">
        <w:rPr>
          <w:rFonts w:eastAsia="Calibri" w:cstheme="minorHAnsi"/>
        </w:rPr>
        <w:t>«</w:t>
      </w:r>
      <w:r w:rsidRPr="00151920">
        <w:rPr>
          <w:rFonts w:eastAsia="Calibri" w:cstheme="minorHAnsi"/>
          <w:b/>
          <w:bCs/>
        </w:rPr>
        <w:t>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r w:rsidR="0000729A">
        <w:rPr>
          <w:rFonts w:eastAsia="Calibri" w:cstheme="minorHAnsi"/>
        </w:rPr>
        <w:t>»</w:t>
      </w:r>
    </w:p>
    <w:p w14:paraId="7DAE601C" w14:textId="77777777" w:rsidR="00DF4111" w:rsidRPr="00151920" w:rsidRDefault="00DF4111" w:rsidP="00151920">
      <w:pPr>
        <w:tabs>
          <w:tab w:val="left" w:pos="3780"/>
        </w:tabs>
        <w:spacing w:after="0"/>
        <w:jc w:val="center"/>
        <w:rPr>
          <w:rFonts w:eastAsia="Calibri" w:cstheme="minorHAnsi"/>
          <w:b/>
          <w:bCs/>
          <w:lang w:eastAsia="el-GR"/>
        </w:rPr>
      </w:pPr>
    </w:p>
    <w:p w14:paraId="0FB5D867" w14:textId="1509DBC3" w:rsidR="00DF4111" w:rsidRPr="00151920" w:rsidRDefault="00DF4111" w:rsidP="00151920">
      <w:pPr>
        <w:spacing w:after="0"/>
        <w:jc w:val="center"/>
        <w:rPr>
          <w:rFonts w:eastAsia="Calibri" w:cstheme="minorHAnsi"/>
          <w:b/>
          <w:bCs/>
        </w:rPr>
      </w:pPr>
      <w:r w:rsidRPr="00151920">
        <w:rPr>
          <w:rFonts w:eastAsia="Calibri" w:cstheme="minorHAnsi"/>
          <w:b/>
          <w:bCs/>
        </w:rPr>
        <w:t xml:space="preserve">Άρθρο </w:t>
      </w:r>
      <w:r w:rsidR="00AB0C3B" w:rsidRPr="00151920">
        <w:rPr>
          <w:rFonts w:eastAsia="Calibri" w:cstheme="minorHAnsi"/>
          <w:b/>
          <w:bCs/>
        </w:rPr>
        <w:t>1</w:t>
      </w:r>
    </w:p>
    <w:p w14:paraId="4E3B8E4E" w14:textId="7EF174C9" w:rsidR="00DF4111" w:rsidRPr="00151920" w:rsidRDefault="00DF4111" w:rsidP="00151920">
      <w:pPr>
        <w:spacing w:after="0"/>
        <w:jc w:val="center"/>
        <w:rPr>
          <w:rFonts w:eastAsia="Calibri" w:cstheme="minorHAnsi"/>
          <w:b/>
          <w:bCs/>
        </w:rPr>
      </w:pPr>
      <w:r w:rsidRPr="00151920">
        <w:rPr>
          <w:rFonts w:eastAsia="Calibri" w:cstheme="minorHAnsi"/>
          <w:b/>
          <w:bCs/>
        </w:rPr>
        <w:t>Ολοκλήρωση επενδυτικών σχεδίων των ν. 3299/2004 και 3908/2011</w:t>
      </w:r>
    </w:p>
    <w:p w14:paraId="65A9B1D3" w14:textId="67740F8B" w:rsidR="00DF4111" w:rsidRPr="00151920" w:rsidRDefault="165F0E9C" w:rsidP="00151920">
      <w:pPr>
        <w:spacing w:after="0"/>
        <w:jc w:val="both"/>
        <w:rPr>
          <w:rFonts w:eastAsia="Calibri" w:cstheme="minorHAnsi"/>
        </w:rPr>
      </w:pPr>
      <w:r w:rsidRPr="00151920">
        <w:rPr>
          <w:rFonts w:eastAsia="Calibri" w:cstheme="minorHAnsi"/>
        </w:rPr>
        <w:t xml:space="preserve">1. </w:t>
      </w:r>
      <w:r w:rsidR="00DF4111" w:rsidRPr="00151920">
        <w:rPr>
          <w:rFonts w:eastAsia="Calibri" w:cstheme="minorHAnsi"/>
        </w:rPr>
        <w:t>Για τους φορείς επενδυτικών σχεδίων που έχουν υποβάλει αίτηση για την πιστοποίηση της ολοκλήρωσης και έναρξης της παραγωγικής λειτουργίας μέχρι την 1η Απριλίου 2024</w:t>
      </w:r>
      <w:r w:rsidR="74CE4DD2" w:rsidRPr="00151920">
        <w:rPr>
          <w:rFonts w:eastAsia="Calibri" w:cstheme="minorHAnsi"/>
        </w:rPr>
        <w:t>, σύμφωνα με το άρθρο 52 του ν. 5079/2023 (Α’ 215),</w:t>
      </w:r>
      <w:r w:rsidR="00DF4111" w:rsidRPr="00151920">
        <w:rPr>
          <w:rFonts w:eastAsia="Calibri" w:cstheme="minorHAnsi"/>
        </w:rPr>
        <w:t xml:space="preserve"> και δεν υποβάλουν έκθεση τελικού ελέγχου έως την 31η Δεκεμβρίου 2025, ανακαλούνται αυτοδίκαια και χωρίς να απαιτείται η προηγούμενη ακρόαση του φορέα οι αποφάσεις υπαγωγής των επενδυτικών σχεδίων και ανακτώνται εντόκως τα ποσά ενίσχυσης που έχουν καταβληθεί. </w:t>
      </w:r>
    </w:p>
    <w:p w14:paraId="4617AA55" w14:textId="42CDA504" w:rsidR="00DF4111" w:rsidRPr="00151920" w:rsidRDefault="02739E7B" w:rsidP="00151920">
      <w:pPr>
        <w:spacing w:after="0"/>
        <w:jc w:val="both"/>
        <w:rPr>
          <w:rFonts w:eastAsia="Calibri" w:cstheme="minorHAnsi"/>
        </w:rPr>
      </w:pPr>
      <w:r w:rsidRPr="00151920">
        <w:rPr>
          <w:rFonts w:eastAsia="Calibri" w:cstheme="minorHAnsi"/>
        </w:rPr>
        <w:t xml:space="preserve">2. Για τους φορείς επενδυτικών σχεδίων που δεν έχουν υποβάλει αίτηση για την πιστοποίηση της ολοκλήρωσης και έναρξης της παραγωγικής λειτουργίας μέχρι την 1η Απριλίου 2024, σύμφωνα με το άρθρο 52 του ν. 5079/2023, ενώ έχουν λάβει ενίσχυση, </w:t>
      </w:r>
      <w:r w:rsidR="7828C04D" w:rsidRPr="00151920">
        <w:rPr>
          <w:rFonts w:eastAsia="Calibri" w:cstheme="minorHAnsi"/>
        </w:rPr>
        <w:t>ανακαλούνται αυτοδίκαια και χωρίς να απαιτείται η προηγούμενη ακρόαση του φορέα οι αποφάσεις υπαγωγής των επενδυτικών σχεδίων και ανακτώνται εντόκως τα ποσά ενίσχυσης που έχουν καταβληθεί. Το προηγούμενο εδάφιο δεν εφαρμόζεται σε φορείς οι οποίοι υπέβαλαν αίτηση παράτασης της προθεσμίας ολοκλήρωσης του φυσικού και οικονομικού αντικειμένου του σχεδίου για λόγους ανωτέρας βίας πριν από την 1η Απριλίου 2024, υπό τον όρο αποδοχής της αίτησής τους.</w:t>
      </w:r>
    </w:p>
    <w:p w14:paraId="2B048802" w14:textId="10E0EBF8" w:rsidR="00DF4111" w:rsidRPr="00151920" w:rsidRDefault="080AE26A" w:rsidP="00151920">
      <w:pPr>
        <w:spacing w:after="0"/>
        <w:jc w:val="both"/>
        <w:rPr>
          <w:rFonts w:eastAsia="Calibri" w:cstheme="minorHAnsi"/>
        </w:rPr>
      </w:pPr>
      <w:r w:rsidRPr="00151920">
        <w:rPr>
          <w:rFonts w:eastAsia="Calibri" w:cstheme="minorHAnsi"/>
        </w:rPr>
        <w:t>3.</w:t>
      </w:r>
      <w:r w:rsidR="00DF4111" w:rsidRPr="00151920">
        <w:rPr>
          <w:rFonts w:eastAsia="Calibri" w:cstheme="minorHAnsi"/>
        </w:rPr>
        <w:t xml:space="preserve"> α) Φορείς επενδυτικών σχεδίων που έχουν υπαχθεί στον ν. 3908/2011 (Α’ 8) και έχουν λάβει την προβλεπόμενη στην παρ. 1 του άρθρου 53 του ν. 5079/2023 παράταση, ολοκληρώνουν την επένδυσή τους έως την 31η Δεκεμβρίου 2026 και υποβάλλουν αίτημα τελικού ελέγχου και έκθεση τελικού ελέγχου έως την 30η Ιουνίου 2027.</w:t>
      </w:r>
    </w:p>
    <w:p w14:paraId="67E290A9" w14:textId="66876232" w:rsidR="00DF4111" w:rsidRPr="00151920" w:rsidRDefault="00DF4111" w:rsidP="00151920">
      <w:pPr>
        <w:spacing w:after="0"/>
        <w:jc w:val="both"/>
        <w:rPr>
          <w:rFonts w:eastAsia="Calibri" w:cstheme="minorHAnsi"/>
        </w:rPr>
      </w:pPr>
      <w:r w:rsidRPr="00151920">
        <w:rPr>
          <w:rFonts w:eastAsia="Calibri" w:cstheme="minorHAnsi"/>
        </w:rPr>
        <w:t>β) Οι φορείς επενδυτικών σχεδίων που έχουν υπαχθεί στον ν. 3908/2011, έχουν ολοκληρώσει το πενήντα τοις εκατό (50%) τουλάχιστον της επένδυσής τους έως την 31</w:t>
      </w:r>
      <w:r w:rsidR="00AB0C3B" w:rsidRPr="00151920">
        <w:rPr>
          <w:rFonts w:eastAsia="Calibri" w:cstheme="minorHAnsi"/>
        </w:rPr>
        <w:t>η</w:t>
      </w:r>
      <w:r w:rsidRPr="00151920">
        <w:rPr>
          <w:rFonts w:eastAsia="Calibri" w:cstheme="minorHAnsi"/>
        </w:rPr>
        <w:t xml:space="preserve"> Δεκεμβρίου 2023 και είχαν υποβάλει αίτημα ελέγχου έως την 30η Ιουνίου 2024, χωρίς να έχουν υποβάλει αίτημα παράτασης έως την 1η Μαρτίου 2024, ολοκληρώνουν την επένδυσή τους έως την 31η Δεκεμβρίου 2025 και υποβάλλουν αίτημα τελικού ελέγχου και έκθεση τελικού ελέγχου έως την 30η Ιουνίου 2026. </w:t>
      </w:r>
    </w:p>
    <w:p w14:paraId="6CDA1EA8" w14:textId="53152F1D" w:rsidR="00DF4111" w:rsidRDefault="00DF4111" w:rsidP="00151920">
      <w:pPr>
        <w:spacing w:after="0"/>
        <w:contextualSpacing/>
        <w:jc w:val="both"/>
        <w:rPr>
          <w:rFonts w:eastAsia="Calibri" w:cstheme="minorHAnsi"/>
        </w:rPr>
      </w:pPr>
      <w:r w:rsidRPr="00151920">
        <w:rPr>
          <w:rFonts w:eastAsia="Calibri" w:cstheme="minorHAnsi"/>
        </w:rPr>
        <w:t>Οι αποφάσεις υπαγωγής των επενδυτικών σχεδίων, για τα οποία δεν πληρούνται οι όροι των περ. α) και β) ανακαλούνται αυτοδικαίως και τα καταβληθέντα για αυτά ποσά ενίσχυσης ανακτώνται εντόκως από τον χρόνο καταβολής τους</w:t>
      </w:r>
      <w:r w:rsidR="1F084AAD" w:rsidRPr="00151920">
        <w:rPr>
          <w:rFonts w:eastAsia="Calibri" w:cstheme="minorHAnsi"/>
        </w:rPr>
        <w:t>, χωρίς να απαιτείται η προηγούμενη ακρόαση του φορέα</w:t>
      </w:r>
      <w:r w:rsidRPr="00151920">
        <w:rPr>
          <w:rFonts w:eastAsia="Calibri" w:cstheme="minorHAnsi"/>
        </w:rPr>
        <w:t xml:space="preserve">. </w:t>
      </w:r>
    </w:p>
    <w:p w14:paraId="6EBD4692" w14:textId="77777777" w:rsidR="0000729A" w:rsidRPr="00151920" w:rsidRDefault="0000729A" w:rsidP="00151920">
      <w:pPr>
        <w:spacing w:after="0"/>
        <w:contextualSpacing/>
        <w:jc w:val="both"/>
        <w:rPr>
          <w:rFonts w:eastAsia="Calibri" w:cstheme="minorHAnsi"/>
        </w:rPr>
      </w:pPr>
    </w:p>
    <w:p w14:paraId="06D71230" w14:textId="3C4D2055" w:rsidR="00DF4111" w:rsidRPr="00151920" w:rsidRDefault="00DF4111" w:rsidP="00151920">
      <w:pPr>
        <w:spacing w:after="0"/>
        <w:contextualSpacing/>
        <w:jc w:val="center"/>
        <w:rPr>
          <w:rFonts w:eastAsia="Calibri" w:cstheme="minorHAnsi"/>
          <w:b/>
          <w:bCs/>
        </w:rPr>
      </w:pPr>
      <w:r w:rsidRPr="00151920">
        <w:rPr>
          <w:rFonts w:eastAsia="Calibri" w:cstheme="minorHAnsi"/>
          <w:b/>
          <w:bCs/>
        </w:rPr>
        <w:t xml:space="preserve">Άρθρο </w:t>
      </w:r>
      <w:r w:rsidR="00AB0C3B" w:rsidRPr="00151920">
        <w:rPr>
          <w:rFonts w:eastAsia="Calibri" w:cstheme="minorHAnsi"/>
          <w:b/>
          <w:bCs/>
        </w:rPr>
        <w:t>2</w:t>
      </w:r>
    </w:p>
    <w:p w14:paraId="03E1785C" w14:textId="77777777" w:rsidR="00DF4111" w:rsidRPr="00151920" w:rsidRDefault="00DF4111" w:rsidP="00151920">
      <w:pPr>
        <w:spacing w:after="0"/>
        <w:ind w:firstLine="720"/>
        <w:contextualSpacing/>
        <w:jc w:val="center"/>
        <w:rPr>
          <w:rFonts w:eastAsia="Calibri" w:cstheme="minorHAnsi"/>
          <w:b/>
          <w:bCs/>
        </w:rPr>
      </w:pPr>
      <w:r w:rsidRPr="00151920">
        <w:rPr>
          <w:rFonts w:eastAsia="Calibri" w:cstheme="minorHAnsi"/>
          <w:b/>
          <w:bCs/>
        </w:rPr>
        <w:t>Παράταση διάρκειας ισχύος των οικοδομικών αδειών για τα κτίρια του πρώην Ολυμπιακού Χωριού Τύπου Αμαρουσίου – Τροποποίηση παρ. 3 άρθρου 217 ν. 4782/2021</w:t>
      </w:r>
    </w:p>
    <w:p w14:paraId="7BD30862" w14:textId="77777777" w:rsidR="00DF4111" w:rsidRPr="00151920" w:rsidRDefault="00DF4111" w:rsidP="00151920">
      <w:pPr>
        <w:spacing w:after="0"/>
        <w:contextualSpacing/>
        <w:jc w:val="both"/>
        <w:rPr>
          <w:rFonts w:eastAsia="Calibri" w:cstheme="minorHAnsi"/>
        </w:rPr>
      </w:pPr>
      <w:r w:rsidRPr="00151920">
        <w:rPr>
          <w:rFonts w:eastAsia="Calibri" w:cstheme="minorHAnsi"/>
        </w:rPr>
        <w:t>Στην παρ. 3 του άρθρου 217 του ν. 4782/2021 (Α’ 36), περί της έκδοσης οικοδομικών αδειών για τα κτίρια του πρώην Ολυμπιακού Χωριού Τύπου Αμαρουσίου, οι λέξεις «τέσσερα (4) χρόνια» αντικαθίστανται από τις λέξεις «μέχρι την 31η.7.2027» και η παρ. 3 διαμορφώνεται ως εξής :</w:t>
      </w:r>
    </w:p>
    <w:p w14:paraId="69F582D2" w14:textId="77777777" w:rsidR="00DF4111" w:rsidRPr="00151920" w:rsidRDefault="00DF4111" w:rsidP="00151920">
      <w:pPr>
        <w:spacing w:after="0"/>
        <w:jc w:val="both"/>
        <w:rPr>
          <w:rFonts w:eastAsia="Calibri" w:cstheme="minorHAnsi"/>
          <w:lang w:eastAsia="el-GR"/>
        </w:rPr>
      </w:pPr>
      <w:r w:rsidRPr="00151920">
        <w:rPr>
          <w:rFonts w:eastAsia="Calibri" w:cstheme="minorHAnsi"/>
        </w:rPr>
        <w:lastRenderedPageBreak/>
        <w:t>«3. Η άδεια της παρ. 2 έχει διάρκεια μέχρι την 31η.7.2027 και αναθεωρείται και ενημερώνεται στις περιπτώσεις των παρ. 9 και 10 του άρθρου 42 του ν. 4495/2017 (Α’ 167) με τη διαδικασία των παρ. 1 και 2 του παρόντος.».</w:t>
      </w:r>
    </w:p>
    <w:p w14:paraId="07818AC8" w14:textId="77777777" w:rsidR="00DF4111" w:rsidRPr="00151920" w:rsidRDefault="00DF4111" w:rsidP="00151920">
      <w:pPr>
        <w:tabs>
          <w:tab w:val="left" w:pos="3780"/>
        </w:tabs>
        <w:spacing w:after="0"/>
        <w:jc w:val="center"/>
        <w:rPr>
          <w:rFonts w:eastAsia="Calibri" w:cstheme="minorHAnsi"/>
          <w:b/>
          <w:bCs/>
          <w:lang w:eastAsia="el-GR"/>
        </w:rPr>
      </w:pPr>
    </w:p>
    <w:p w14:paraId="1FA1E672" w14:textId="10CB32AB" w:rsidR="00AB0C3B" w:rsidRPr="00151920" w:rsidRDefault="00AB0C3B" w:rsidP="00151920">
      <w:pPr>
        <w:spacing w:after="0"/>
        <w:jc w:val="center"/>
        <w:rPr>
          <w:rFonts w:eastAsia="Calibri" w:cstheme="minorHAnsi"/>
          <w:b/>
          <w:bCs/>
        </w:rPr>
      </w:pPr>
      <w:r w:rsidRPr="00151920">
        <w:rPr>
          <w:rFonts w:eastAsia="Calibri" w:cstheme="minorHAnsi"/>
          <w:b/>
          <w:bCs/>
        </w:rPr>
        <w:t>Άρθρο 3</w:t>
      </w:r>
    </w:p>
    <w:p w14:paraId="21126DF8" w14:textId="77777777" w:rsidR="00AB0C3B" w:rsidRPr="00151920" w:rsidRDefault="00AB0C3B" w:rsidP="00151920">
      <w:pPr>
        <w:spacing w:after="0"/>
        <w:jc w:val="center"/>
        <w:rPr>
          <w:rFonts w:eastAsia="Calibri" w:cstheme="minorHAnsi"/>
          <w:b/>
          <w:bCs/>
        </w:rPr>
      </w:pPr>
      <w:r w:rsidRPr="00151920">
        <w:rPr>
          <w:rFonts w:eastAsia="Calibri" w:cstheme="minorHAnsi"/>
          <w:b/>
          <w:bCs/>
        </w:rPr>
        <w:t xml:space="preserve">Παραχώρηση δικαιωμάτων χρήσης σε τμήματα ζωνών ραδιοσυχνοτήτων - Εξουσιοδοτικές διατάξεις - Ραδιοφάσμα για πιλοτικές εφαρμογές ασυρμάτων δικτύων ηλεκτρονικών επικοινωνιών - Τροποποίηση παρ. 61 και 62 άρθρου 107 και προσθήκη παρ. 14 στο άρθρο 115 ν. 4727/2020 </w:t>
      </w:r>
    </w:p>
    <w:p w14:paraId="4C348037" w14:textId="20C954C8" w:rsidR="00AB0C3B" w:rsidRPr="00151920" w:rsidRDefault="00AB0C3B" w:rsidP="00151920">
      <w:pPr>
        <w:spacing w:after="0"/>
        <w:jc w:val="both"/>
        <w:rPr>
          <w:rFonts w:eastAsia="Calibri" w:cstheme="minorHAnsi"/>
        </w:rPr>
      </w:pPr>
      <w:r w:rsidRPr="00151920">
        <w:rPr>
          <w:rFonts w:eastAsia="Calibri" w:cstheme="minorHAnsi"/>
        </w:rPr>
        <w:t>1. Στην παρ. 61 του άρθρου 107 του ν. 4727/2020 (Α’ 184), περί εξουσιοδοτικών διατάξεων, προστίθεται νέο τέταρτο εδάφιο ως εξής:</w:t>
      </w:r>
    </w:p>
    <w:p w14:paraId="2946187E" w14:textId="77777777" w:rsidR="00AB0C3B" w:rsidRPr="00151920" w:rsidRDefault="00AB0C3B" w:rsidP="00151920">
      <w:pPr>
        <w:spacing w:after="0"/>
        <w:jc w:val="both"/>
        <w:rPr>
          <w:rFonts w:eastAsia="Calibri" w:cstheme="minorHAnsi"/>
        </w:rPr>
      </w:pPr>
      <w:r w:rsidRPr="00151920">
        <w:rPr>
          <w:rFonts w:eastAsia="Calibri" w:cstheme="minorHAnsi"/>
        </w:rPr>
        <w:t>«61. Με απόφαση του Υπουργού Ψηφιακής Διακυβέρνησης το χρονικό διάστημα των παρ. 1, 2 και 4 του άρθρου 92 δύναται να παρατείνεται για άλλα δέκα (10) έτη. Με αποφάσεις του Υπουργού Ψηφιακής Διακυβέρνησης μπορούν να παραχωρούνται δικαιώματα χρήσης σε τμήματα ζωνών ραδιοσυχνοτήτων των παρ. 1 έως 4 του άρθρου 92 για περιορισμένο χρονικό διάστημα, που δεν μπορεί να υπερβαίνει τους δώδεκα (12) μήνες, σε εταιρείες που επιθυμούν να αναπτύξουν πιλοτικά δίκτυα, προϊόντα ή/και υπηρεσίες που λειτουργούν σε υποδομές 5G ή σχετικές με αυτές στην Ελλάδα, εφόσον στις προτάσεις τους, που έχουν ήδη επιλεγεί για επένδυση από την Εταιρεία του άρθρου 93, περιλαμβάνεται αίτημα για παραχώρηση δικαιώματος χρήσης τμήματος ραδιοφάσματος. Σε αυτές τις περιπτώσεις, η Εταιρεία του άρθρου 93 ενημερώνει κατά περίπτωση τον Υπουργό Ψηφιακής Διακυβέρνησης, ο οποίος, με απόφασή του παραχωρεί το εν λόγω δικαίωμα χρήσης στη συγκεκριμένη εταιρεία, καθορίζοντας το οικείο τμήμα φασματικής ζώνης και το χρονικό διάστημα της παραχώρησης, δύναται δε να αρνηθεί μόνο αν συντρέχει λόγος εθνικής ασφαλείας ή άμυνας ή άλλος ειδικός λόγος δημοσίου συμφέροντος. Με απόφαση του Υπουργού Ψηφιακής Διακυβέρνησης καθορίζονται η διαδικασία, οι προϋποθέσεις, οι απαιτούμενες μελέτες εκτίμησης κινδύνων και οι όροι παραχώρησης δικαιωμάτων χρήσης τμημάτων ζωνών ραδιοσυχνοτήτων σε εταιρείες της παρούσας, καθώς και κάθε άλλο θέμα σχετικό με τη χρήση του αποδιδόμενου φάσματος συχνοτήτων.».</w:t>
      </w:r>
    </w:p>
    <w:p w14:paraId="36A1F416" w14:textId="356B1FAB" w:rsidR="00AB0C3B" w:rsidRPr="00151920" w:rsidRDefault="00AB0C3B" w:rsidP="00151920">
      <w:pPr>
        <w:spacing w:after="0"/>
        <w:jc w:val="both"/>
        <w:rPr>
          <w:rFonts w:eastAsia="Calibri" w:cstheme="minorHAnsi"/>
        </w:rPr>
      </w:pPr>
      <w:r w:rsidRPr="00151920">
        <w:rPr>
          <w:rFonts w:eastAsia="Calibri" w:cstheme="minorHAnsi"/>
        </w:rPr>
        <w:t>2. Στην παρ. 62 του άρθρου 107 του ν. 4727/2020, περί εξουσιοδοτικών διατάξεων ψηφιακής διακυβέρνησης, προστίθεται νέο τρίτο εδάφιο ως εξής:</w:t>
      </w:r>
    </w:p>
    <w:p w14:paraId="54EC4F02" w14:textId="364069E1" w:rsidR="00AB0C3B" w:rsidRPr="00151920" w:rsidRDefault="00AB0C3B" w:rsidP="00151920">
      <w:pPr>
        <w:spacing w:after="0"/>
        <w:jc w:val="both"/>
        <w:rPr>
          <w:rFonts w:eastAsia="Calibri" w:cstheme="minorHAnsi"/>
        </w:rPr>
      </w:pPr>
      <w:r w:rsidRPr="00151920">
        <w:rPr>
          <w:rFonts w:eastAsia="Calibri" w:cstheme="minorHAnsi"/>
        </w:rPr>
        <w:t>«62. Με απόφαση του Υπουργού Ψηφιακής Διακυβέρνησης παραχωρείται το δικαίωμα χρήσης σε τμήματα ζωνών ραδιοσυχνοτήτων, σύμφωνα με την παρ. 5 του άρθρου 92, σε πανεπιστήμια ή/και σε ερευνητικά κέντρα της ημεδαπής που επιθυμούν να αναπτύξουν πιλοτικά δίκτυα, προϊόντα ή/και υπηρεσίες σε υποδομές 5G, καθορίζοντας το οικείο τμήμα φασματικής ζώνης και το χρονικό διάστημα της παραχώρησης, δύναται δε να αρνηθεί μόνο αν συντρέχει λόγος εθνικής ασφαλείας ή άμυνας ή άλλος ειδικός λόγος δημοσίου συμφέροντος. Με όμοια απόφαση ορίζεται η διαδικασία υποβολής εκδήλωσης ενδιαφέροντος από πανεπιστήμια ή/και ερευνητικά κέντρα για την παραχώρηση δικαιώματος χρήσης κατά την παρούσα παράγραφο και την παρ. 5 του άρθρου 92. Με απόφαση του Υπουργού Ψηφιακής Διακυβέρνησης καθορίζονται η διαδικασία, οι όροι και οι προϋποθέσεις, τα απαιτούμενα δικαιολογητικά όπως, ιδίως, μελέτες εκτίμησης κινδύνων ή τεχνικές εισηγήσεις και τα τυποποιημένα έντυπα υποβολής των δικαιολογητικών, η χρονική διάρκεια της χρήσης, οι επιβαλλόμενες κυρώσεις και περιορισμοί, καθώς και κάθε άλλο θέμα σχετικό με την παραχώρηση δικαιωμάτων χρήσης τμημάτων ζωνών ραδιοσυχνοτήτων σε πανεπιστήμια και σε ερευνητικά κέντρα της ημεδαπής που επιθυμούν να αναπτύξουν πιλοτικά δίκτυα, προϊόντα και υπηρεσίες σε υποδομές πέμπτης γενιάς (5G) ή σχετικές με αυτές.».</w:t>
      </w:r>
    </w:p>
    <w:p w14:paraId="7ADFB983" w14:textId="5AE70170" w:rsidR="00AB0C3B" w:rsidRPr="00151920" w:rsidRDefault="005F14F6" w:rsidP="00151920">
      <w:pPr>
        <w:spacing w:after="0"/>
        <w:jc w:val="both"/>
        <w:rPr>
          <w:rFonts w:eastAsia="Calibri" w:cstheme="minorHAnsi"/>
        </w:rPr>
      </w:pPr>
      <w:r>
        <w:rPr>
          <w:rFonts w:eastAsia="Calibri" w:cstheme="minorHAnsi"/>
        </w:rPr>
        <w:t>3</w:t>
      </w:r>
      <w:r w:rsidR="00AB0C3B" w:rsidRPr="00151920">
        <w:rPr>
          <w:rFonts w:eastAsia="Calibri" w:cstheme="minorHAnsi"/>
        </w:rPr>
        <w:t>. Στο άρθρο 115 του ν. 4727/2020, περί γενικών αρχών χρήσης ραδιοφάσματος, προστίθεται νέα παρ. 14 ως εξής:</w:t>
      </w:r>
    </w:p>
    <w:p w14:paraId="799941F5" w14:textId="560EE385" w:rsidR="00AB0C3B" w:rsidRPr="00151920" w:rsidRDefault="00AB0C3B" w:rsidP="00151920">
      <w:pPr>
        <w:spacing w:after="0"/>
        <w:jc w:val="both"/>
        <w:rPr>
          <w:rFonts w:eastAsia="Calibri" w:cstheme="minorHAnsi"/>
        </w:rPr>
      </w:pPr>
      <w:r w:rsidRPr="00151920">
        <w:rPr>
          <w:rFonts w:eastAsia="Calibri" w:cstheme="minorHAnsi"/>
        </w:rPr>
        <w:lastRenderedPageBreak/>
        <w:t>«14. Για κάθε παραχώρηση ή χορήγηση δικαιώματος χρήσης τμημάτων ζωνών συχνοτήτων από οποιονδήποτε φορέα, νομικό πρόσωπο ή αρχή ενημερώνεται αμελλητί η Γενική Γραμματεία Τηλεπικοινωνιών και Ταχυδρομείων του Υπουργείου Ψηφιακής Διακυβέρνησης, η οποία δύναται και αυτοτελώς να ζητήσει κάθε σχετικό στοιχείο ή πληροφορία.».</w:t>
      </w:r>
    </w:p>
    <w:p w14:paraId="1C67DA61" w14:textId="22F91A4F" w:rsidR="00AB0C3B" w:rsidRPr="00151920" w:rsidRDefault="00AB0C3B" w:rsidP="00151920">
      <w:pPr>
        <w:spacing w:after="0"/>
        <w:jc w:val="center"/>
        <w:rPr>
          <w:rFonts w:eastAsia="Calibri" w:cstheme="minorHAnsi"/>
          <w:b/>
          <w:bCs/>
          <w:lang w:eastAsia="el-GR"/>
        </w:rPr>
      </w:pPr>
    </w:p>
    <w:p w14:paraId="2F332A24" w14:textId="2ADAE0BD" w:rsidR="00B84EBB" w:rsidRPr="00151920" w:rsidRDefault="00AB0C3B" w:rsidP="00151920">
      <w:pPr>
        <w:spacing w:after="0"/>
        <w:jc w:val="center"/>
        <w:rPr>
          <w:rFonts w:eastAsia="Calibri" w:cstheme="minorHAnsi"/>
          <w:b/>
          <w:bCs/>
        </w:rPr>
      </w:pPr>
      <w:r w:rsidRPr="00151920">
        <w:rPr>
          <w:rFonts w:eastAsia="Calibri" w:cstheme="minorHAnsi"/>
          <w:b/>
          <w:bCs/>
          <w:lang w:eastAsia="el-GR"/>
        </w:rPr>
        <w:t>Άρθρο 4</w:t>
      </w:r>
    </w:p>
    <w:p w14:paraId="1BA789FB" w14:textId="5F5E0C52" w:rsidR="00B84EBB" w:rsidRPr="00151920" w:rsidRDefault="00AB0C3B" w:rsidP="00151920">
      <w:pPr>
        <w:spacing w:after="0"/>
        <w:contextualSpacing/>
        <w:jc w:val="center"/>
        <w:rPr>
          <w:rFonts w:eastAsia="Calibri" w:cstheme="minorHAnsi"/>
        </w:rPr>
      </w:pPr>
      <w:r w:rsidRPr="00151920">
        <w:rPr>
          <w:rFonts w:eastAsia="Calibri" w:cstheme="minorHAnsi"/>
          <w:b/>
          <w:bCs/>
        </w:rPr>
        <w:t xml:space="preserve">Ζητήματα </w:t>
      </w:r>
      <w:r w:rsidR="76EB2516" w:rsidRPr="00151920">
        <w:rPr>
          <w:rFonts w:eastAsia="Calibri" w:cstheme="minorHAnsi"/>
          <w:b/>
          <w:bCs/>
        </w:rPr>
        <w:t>εκπαιδευτικού προσωπικού της πρωτοβάθμιας εκπαίδευσης - Προσθήκη άρθρου 13B στον ν. 1566/1985</w:t>
      </w:r>
      <w:r w:rsidRPr="00151920">
        <w:rPr>
          <w:rFonts w:eastAsia="Calibri" w:cstheme="minorHAnsi"/>
          <w:b/>
          <w:bCs/>
        </w:rPr>
        <w:t>, π</w:t>
      </w:r>
      <w:r w:rsidR="76EB2516" w:rsidRPr="00151920">
        <w:rPr>
          <w:rFonts w:eastAsia="Calibri" w:cstheme="minorHAnsi"/>
          <w:b/>
          <w:bCs/>
        </w:rPr>
        <w:t>ροσθήκη παρ. 4 στο</w:t>
      </w:r>
      <w:r w:rsidR="76EB2516" w:rsidRPr="00151920">
        <w:rPr>
          <w:rFonts w:eastAsia="Calibri" w:cstheme="minorHAnsi"/>
        </w:rPr>
        <w:t xml:space="preserve"> </w:t>
      </w:r>
      <w:r w:rsidR="76EB2516" w:rsidRPr="00151920">
        <w:rPr>
          <w:rFonts w:eastAsia="Calibri" w:cstheme="minorHAnsi"/>
          <w:b/>
          <w:bCs/>
        </w:rPr>
        <w:t>άρθρο 35 του ν. 3699/2008</w:t>
      </w:r>
      <w:r w:rsidRPr="00151920">
        <w:rPr>
          <w:rFonts w:eastAsia="Calibri" w:cstheme="minorHAnsi"/>
          <w:b/>
          <w:bCs/>
        </w:rPr>
        <w:t>, τροποποίηση άρθρου 200 ν. 5094/2024</w:t>
      </w:r>
    </w:p>
    <w:p w14:paraId="1730B679" w14:textId="6C03B973" w:rsidR="00B84EBB" w:rsidRPr="00151920" w:rsidRDefault="76EB2516" w:rsidP="00266185">
      <w:pPr>
        <w:spacing w:after="0"/>
        <w:contextualSpacing/>
        <w:rPr>
          <w:rFonts w:eastAsia="Calibri" w:cstheme="minorHAnsi"/>
        </w:rPr>
      </w:pPr>
      <w:r w:rsidRPr="00151920">
        <w:rPr>
          <w:rFonts w:eastAsia="Calibri" w:cstheme="minorHAnsi"/>
        </w:rPr>
        <w:t>1. Στον ν. 1566/1985 (Α’ 167), μετά από το άρθρο 13A, προστίθεται άρθρο 13Β, ως εξής:</w:t>
      </w:r>
    </w:p>
    <w:p w14:paraId="02B62B05" w14:textId="6E88C66C" w:rsidR="00B84EBB" w:rsidRPr="00151920" w:rsidRDefault="76EB2516" w:rsidP="00151920">
      <w:pPr>
        <w:spacing w:after="0"/>
        <w:jc w:val="center"/>
        <w:rPr>
          <w:rFonts w:eastAsia="Calibri" w:cstheme="minorHAnsi"/>
        </w:rPr>
      </w:pPr>
      <w:r w:rsidRPr="00151920">
        <w:rPr>
          <w:rFonts w:eastAsia="Calibri" w:cstheme="minorHAnsi"/>
        </w:rPr>
        <w:t>«Άρθρο 13Β</w:t>
      </w:r>
    </w:p>
    <w:p w14:paraId="219D1777" w14:textId="77777777" w:rsidR="00B84EBB" w:rsidRPr="00151920" w:rsidRDefault="76EB2516" w:rsidP="00151920">
      <w:pPr>
        <w:spacing w:after="0"/>
        <w:jc w:val="center"/>
        <w:rPr>
          <w:rFonts w:eastAsia="Calibri" w:cstheme="minorHAnsi"/>
        </w:rPr>
      </w:pPr>
      <w:r w:rsidRPr="00151920">
        <w:rPr>
          <w:rFonts w:eastAsia="Calibri" w:cstheme="minorHAnsi"/>
        </w:rPr>
        <w:t>Οργανικές θέσεις κλάδων εκπαιδευτικού προσωπικού της πρωτοβάθμιας εκπαίδευσης</w:t>
      </w:r>
    </w:p>
    <w:p w14:paraId="0698EA39" w14:textId="454F9B47" w:rsidR="00B84EBB" w:rsidRPr="00151920" w:rsidRDefault="76EB2516" w:rsidP="003A0DDF">
      <w:pPr>
        <w:spacing w:after="0"/>
        <w:contextualSpacing/>
        <w:jc w:val="both"/>
        <w:rPr>
          <w:rFonts w:eastAsia="Calibri" w:cstheme="minorHAnsi"/>
        </w:rPr>
      </w:pPr>
      <w:r w:rsidRPr="00151920">
        <w:rPr>
          <w:rFonts w:eastAsia="Calibri" w:cstheme="minorHAnsi"/>
        </w:rPr>
        <w:t>1. Συστήνονται, πλέον των υφισταμένων, δύο χιλιάδες εκατόν τριάντα (2.130) οργανικές θέσεις εκπαιδευτικού προσωπικού πρωτοβάθμιας εκπαίδευσης, με ταυτόχρονη κατάργηση ισάριθμων θέσεων από τη δευτεροβάθμια εκπαίδευση, στους κλάδους ΠΕ60 ΝΗΠΙΑΓΩΓΩΝ, ΠΕ08 ΚΑΛΛΙΤΕΧΝΙΚΩΝ και στους κλάδους/ειδικότητες ΠΕ91 ΘΕΑΤΡΙΚΗΣ ΑΓΩΓΗΣ: ΠΕ91.01 ΘΕΑΤΡΙΚΩΝ ΣΠΟΥΔΩΝ και ΠΕ91.02 ΔΡΑΜΑΤΙΚΗΣ ΤΕΧΝΗΣ, ως ακολούθως:</w:t>
      </w:r>
    </w:p>
    <w:tbl>
      <w:tblPr>
        <w:tblStyle w:val="TableGrid"/>
        <w:tblW w:w="0" w:type="auto"/>
        <w:tblLayout w:type="fixed"/>
        <w:tblLook w:val="06A0" w:firstRow="1" w:lastRow="0" w:firstColumn="1" w:lastColumn="0" w:noHBand="1" w:noVBand="1"/>
      </w:tblPr>
      <w:tblGrid>
        <w:gridCol w:w="3070"/>
        <w:gridCol w:w="3070"/>
        <w:gridCol w:w="3070"/>
      </w:tblGrid>
      <w:tr w:rsidR="00151920" w:rsidRPr="00151920" w14:paraId="709FA8B3" w14:textId="77777777" w:rsidTr="76EB2516">
        <w:trPr>
          <w:trHeight w:val="300"/>
        </w:trPr>
        <w:tc>
          <w:tcPr>
            <w:tcW w:w="3070" w:type="dxa"/>
          </w:tcPr>
          <w:p w14:paraId="7FD194D9" w14:textId="2036A214" w:rsidR="76EB2516" w:rsidRPr="00151920" w:rsidRDefault="76EB2516" w:rsidP="00151920">
            <w:pPr>
              <w:spacing w:line="276" w:lineRule="auto"/>
              <w:rPr>
                <w:rFonts w:eastAsia="Calibri" w:cstheme="minorHAnsi"/>
              </w:rPr>
            </w:pPr>
            <w:r w:rsidRPr="00151920">
              <w:rPr>
                <w:rFonts w:eastAsia="Calibri" w:cstheme="minorHAnsi"/>
              </w:rPr>
              <w:t xml:space="preserve">ΚΛΑΔΟΣ        </w:t>
            </w:r>
          </w:p>
        </w:tc>
        <w:tc>
          <w:tcPr>
            <w:tcW w:w="3070" w:type="dxa"/>
          </w:tcPr>
          <w:p w14:paraId="45D17863" w14:textId="2997F053" w:rsidR="76EB2516" w:rsidRPr="00151920" w:rsidRDefault="76EB2516" w:rsidP="00151920">
            <w:pPr>
              <w:spacing w:line="276" w:lineRule="auto"/>
              <w:rPr>
                <w:rFonts w:eastAsia="Calibri" w:cstheme="minorHAnsi"/>
              </w:rPr>
            </w:pPr>
            <w:r w:rsidRPr="00151920">
              <w:rPr>
                <w:rFonts w:eastAsia="Calibri" w:cstheme="minorHAnsi"/>
              </w:rPr>
              <w:t xml:space="preserve">ΕΙΔΙΚΟΤΗΤΑ          </w:t>
            </w:r>
          </w:p>
        </w:tc>
        <w:tc>
          <w:tcPr>
            <w:tcW w:w="3070" w:type="dxa"/>
          </w:tcPr>
          <w:p w14:paraId="260FED58" w14:textId="2547F4E3" w:rsidR="76EB2516" w:rsidRPr="00151920" w:rsidRDefault="76EB2516" w:rsidP="00151920">
            <w:pPr>
              <w:spacing w:line="276" w:lineRule="auto"/>
              <w:rPr>
                <w:rFonts w:eastAsia="Calibri" w:cstheme="minorHAnsi"/>
              </w:rPr>
            </w:pPr>
            <w:r w:rsidRPr="00151920">
              <w:rPr>
                <w:rFonts w:eastAsia="Calibri" w:cstheme="minorHAnsi"/>
              </w:rPr>
              <w:t>ΑΡΙΘΜΟΣ ΘΕΣΕΩΝ</w:t>
            </w:r>
          </w:p>
        </w:tc>
      </w:tr>
      <w:tr w:rsidR="00151920" w:rsidRPr="00151920" w14:paraId="4DCE1E50" w14:textId="77777777" w:rsidTr="76EB2516">
        <w:trPr>
          <w:trHeight w:val="300"/>
        </w:trPr>
        <w:tc>
          <w:tcPr>
            <w:tcW w:w="3070" w:type="dxa"/>
          </w:tcPr>
          <w:p w14:paraId="3BFD8079" w14:textId="571DA3AF" w:rsidR="76EB2516" w:rsidRPr="00151920" w:rsidRDefault="76EB2516" w:rsidP="00151920">
            <w:pPr>
              <w:spacing w:line="276" w:lineRule="auto"/>
              <w:rPr>
                <w:rFonts w:eastAsia="Calibri" w:cstheme="minorHAnsi"/>
              </w:rPr>
            </w:pPr>
            <w:r w:rsidRPr="00151920">
              <w:rPr>
                <w:rFonts w:eastAsia="Calibri" w:cstheme="minorHAnsi"/>
              </w:rPr>
              <w:t>ΠΕ60</w:t>
            </w:r>
          </w:p>
        </w:tc>
        <w:tc>
          <w:tcPr>
            <w:tcW w:w="3070" w:type="dxa"/>
          </w:tcPr>
          <w:p w14:paraId="05005A32" w14:textId="08B33B12" w:rsidR="76EB2516" w:rsidRPr="00151920" w:rsidRDefault="76EB2516" w:rsidP="00151920">
            <w:pPr>
              <w:spacing w:line="276" w:lineRule="auto"/>
              <w:rPr>
                <w:rFonts w:eastAsia="Calibri" w:cstheme="minorHAnsi"/>
              </w:rPr>
            </w:pPr>
            <w:r w:rsidRPr="00151920">
              <w:rPr>
                <w:rFonts w:eastAsia="Calibri" w:cstheme="minorHAnsi"/>
              </w:rPr>
              <w:t>ΝΗΠΙΑΓΩΓΟΙ</w:t>
            </w:r>
          </w:p>
        </w:tc>
        <w:tc>
          <w:tcPr>
            <w:tcW w:w="3070" w:type="dxa"/>
          </w:tcPr>
          <w:p w14:paraId="19E03F4F" w14:textId="07E102C5" w:rsidR="76EB2516" w:rsidRPr="00151920" w:rsidRDefault="76EB2516" w:rsidP="00151920">
            <w:pPr>
              <w:spacing w:line="276" w:lineRule="auto"/>
              <w:rPr>
                <w:rFonts w:eastAsia="Calibri" w:cstheme="minorHAnsi"/>
              </w:rPr>
            </w:pPr>
            <w:r w:rsidRPr="00151920">
              <w:rPr>
                <w:rFonts w:eastAsia="Calibri" w:cstheme="minorHAnsi"/>
              </w:rPr>
              <w:t>1.889</w:t>
            </w:r>
          </w:p>
        </w:tc>
      </w:tr>
      <w:tr w:rsidR="00151920" w:rsidRPr="00151920" w14:paraId="54939ED3" w14:textId="77777777" w:rsidTr="76EB2516">
        <w:trPr>
          <w:trHeight w:val="300"/>
        </w:trPr>
        <w:tc>
          <w:tcPr>
            <w:tcW w:w="3070" w:type="dxa"/>
          </w:tcPr>
          <w:p w14:paraId="11AA2D1B" w14:textId="34751381" w:rsidR="76EB2516" w:rsidRPr="00151920" w:rsidRDefault="76EB2516" w:rsidP="00151920">
            <w:pPr>
              <w:spacing w:line="276" w:lineRule="auto"/>
              <w:rPr>
                <w:rFonts w:eastAsia="Calibri" w:cstheme="minorHAnsi"/>
              </w:rPr>
            </w:pPr>
            <w:r w:rsidRPr="00151920">
              <w:rPr>
                <w:rFonts w:eastAsia="Calibri" w:cstheme="minorHAnsi"/>
              </w:rPr>
              <w:t>ΠΕ08</w:t>
            </w:r>
          </w:p>
        </w:tc>
        <w:tc>
          <w:tcPr>
            <w:tcW w:w="3070" w:type="dxa"/>
          </w:tcPr>
          <w:p w14:paraId="6FFF72CF" w14:textId="0C96E8C2" w:rsidR="76EB2516" w:rsidRPr="00151920" w:rsidRDefault="76EB2516" w:rsidP="00151920">
            <w:pPr>
              <w:spacing w:line="276" w:lineRule="auto"/>
              <w:rPr>
                <w:rFonts w:eastAsia="Calibri" w:cstheme="minorHAnsi"/>
              </w:rPr>
            </w:pPr>
            <w:r w:rsidRPr="00151920">
              <w:rPr>
                <w:rFonts w:eastAsia="Calibri" w:cstheme="minorHAnsi"/>
              </w:rPr>
              <w:t>ΚΑΛΛΙΤΕΧΝΙΚΩΝ</w:t>
            </w:r>
          </w:p>
        </w:tc>
        <w:tc>
          <w:tcPr>
            <w:tcW w:w="3070" w:type="dxa"/>
          </w:tcPr>
          <w:p w14:paraId="62171538" w14:textId="1A97EB01" w:rsidR="76EB2516" w:rsidRPr="00151920" w:rsidRDefault="76EB2516" w:rsidP="00151920">
            <w:pPr>
              <w:spacing w:line="276" w:lineRule="auto"/>
              <w:rPr>
                <w:rFonts w:eastAsia="Calibri" w:cstheme="minorHAnsi"/>
              </w:rPr>
            </w:pPr>
            <w:r w:rsidRPr="00151920">
              <w:rPr>
                <w:rFonts w:eastAsia="Calibri" w:cstheme="minorHAnsi"/>
              </w:rPr>
              <w:t>171</w:t>
            </w:r>
          </w:p>
        </w:tc>
      </w:tr>
      <w:tr w:rsidR="00151920" w:rsidRPr="00151920" w14:paraId="33314C55" w14:textId="77777777" w:rsidTr="76EB2516">
        <w:trPr>
          <w:trHeight w:val="300"/>
        </w:trPr>
        <w:tc>
          <w:tcPr>
            <w:tcW w:w="3070" w:type="dxa"/>
            <w:vMerge w:val="restart"/>
            <w:vAlign w:val="center"/>
          </w:tcPr>
          <w:p w14:paraId="0BE8540C" w14:textId="665E2A8C" w:rsidR="76EB2516" w:rsidRPr="00151920" w:rsidRDefault="76EB2516" w:rsidP="00151920">
            <w:pPr>
              <w:spacing w:line="276" w:lineRule="auto"/>
              <w:rPr>
                <w:rFonts w:eastAsia="Calibri" w:cstheme="minorHAnsi"/>
              </w:rPr>
            </w:pPr>
            <w:r w:rsidRPr="00151920">
              <w:rPr>
                <w:rFonts w:eastAsia="Calibri" w:cstheme="minorHAnsi"/>
              </w:rPr>
              <w:t>ΠΕ91 ΘΕΑΤΡΙΚΗΣ ΑΓΩΓΗΣ</w:t>
            </w:r>
          </w:p>
        </w:tc>
        <w:tc>
          <w:tcPr>
            <w:tcW w:w="3070" w:type="dxa"/>
          </w:tcPr>
          <w:p w14:paraId="10E44DF3" w14:textId="28D79AB6" w:rsidR="76EB2516" w:rsidRPr="00151920" w:rsidRDefault="76EB2516" w:rsidP="00151920">
            <w:pPr>
              <w:spacing w:line="276" w:lineRule="auto"/>
              <w:rPr>
                <w:rFonts w:eastAsia="Calibri" w:cstheme="minorHAnsi"/>
              </w:rPr>
            </w:pPr>
            <w:r w:rsidRPr="00151920">
              <w:rPr>
                <w:rFonts w:eastAsia="Calibri" w:cstheme="minorHAnsi"/>
              </w:rPr>
              <w:t>ΠΕ91.01 ΘΕΑΤΡΙΚΩΝ ΣΠΟΥΔΩΝ</w:t>
            </w:r>
          </w:p>
        </w:tc>
        <w:tc>
          <w:tcPr>
            <w:tcW w:w="3070" w:type="dxa"/>
          </w:tcPr>
          <w:p w14:paraId="6CDF8FEF" w14:textId="59490DE9" w:rsidR="76EB2516" w:rsidRPr="00151920" w:rsidRDefault="76EB2516" w:rsidP="00151920">
            <w:pPr>
              <w:spacing w:line="276" w:lineRule="auto"/>
              <w:rPr>
                <w:rFonts w:eastAsia="Calibri" w:cstheme="minorHAnsi"/>
              </w:rPr>
            </w:pPr>
            <w:r w:rsidRPr="00151920">
              <w:rPr>
                <w:rFonts w:eastAsia="Calibri" w:cstheme="minorHAnsi"/>
              </w:rPr>
              <w:t>64</w:t>
            </w:r>
          </w:p>
        </w:tc>
      </w:tr>
      <w:tr w:rsidR="76EB2516" w:rsidRPr="00151920" w14:paraId="207F6890" w14:textId="77777777" w:rsidTr="76EB2516">
        <w:trPr>
          <w:trHeight w:val="300"/>
        </w:trPr>
        <w:tc>
          <w:tcPr>
            <w:tcW w:w="3070" w:type="dxa"/>
            <w:vMerge/>
          </w:tcPr>
          <w:p w14:paraId="2BA32375" w14:textId="77777777" w:rsidR="009B1BB4" w:rsidRPr="00151920" w:rsidRDefault="009B1BB4" w:rsidP="00151920">
            <w:pPr>
              <w:spacing w:line="276" w:lineRule="auto"/>
              <w:rPr>
                <w:rFonts w:cstheme="minorHAnsi"/>
              </w:rPr>
            </w:pPr>
          </w:p>
        </w:tc>
        <w:tc>
          <w:tcPr>
            <w:tcW w:w="3070" w:type="dxa"/>
          </w:tcPr>
          <w:p w14:paraId="5B43F40F" w14:textId="7AD508AB" w:rsidR="76EB2516" w:rsidRPr="00151920" w:rsidRDefault="76EB2516" w:rsidP="00151920">
            <w:pPr>
              <w:spacing w:line="276" w:lineRule="auto"/>
              <w:rPr>
                <w:rFonts w:eastAsia="Calibri" w:cstheme="minorHAnsi"/>
              </w:rPr>
            </w:pPr>
            <w:r w:rsidRPr="00151920">
              <w:rPr>
                <w:rFonts w:eastAsia="Calibri" w:cstheme="minorHAnsi"/>
              </w:rPr>
              <w:t>ΠΕ91.02 ΔΡΑΜΑΤΙΚΗΣ ΤΕΧΝΗΣ</w:t>
            </w:r>
          </w:p>
        </w:tc>
        <w:tc>
          <w:tcPr>
            <w:tcW w:w="3070" w:type="dxa"/>
          </w:tcPr>
          <w:p w14:paraId="76E15C3B" w14:textId="7BCDB632" w:rsidR="76EB2516" w:rsidRPr="00151920" w:rsidRDefault="76EB2516" w:rsidP="00151920">
            <w:pPr>
              <w:spacing w:line="276" w:lineRule="auto"/>
              <w:rPr>
                <w:rFonts w:eastAsia="Calibri" w:cstheme="minorHAnsi"/>
              </w:rPr>
            </w:pPr>
            <w:r w:rsidRPr="00151920">
              <w:rPr>
                <w:rFonts w:eastAsia="Calibri" w:cstheme="minorHAnsi"/>
              </w:rPr>
              <w:t>6</w:t>
            </w:r>
          </w:p>
        </w:tc>
      </w:tr>
    </w:tbl>
    <w:p w14:paraId="3412B4CF" w14:textId="3437EEF9" w:rsidR="76EB2516" w:rsidRPr="00151920" w:rsidRDefault="76EB2516" w:rsidP="00151920">
      <w:pPr>
        <w:spacing w:after="0"/>
        <w:jc w:val="both"/>
        <w:rPr>
          <w:rFonts w:eastAsia="Calibri" w:cstheme="minorHAnsi"/>
        </w:rPr>
      </w:pPr>
    </w:p>
    <w:p w14:paraId="3FC2B06E" w14:textId="12EB3312" w:rsidR="00B84EBB" w:rsidRPr="00151920" w:rsidRDefault="76EB2516" w:rsidP="003A0DDF">
      <w:pPr>
        <w:spacing w:after="0"/>
        <w:jc w:val="both"/>
        <w:rPr>
          <w:rFonts w:eastAsia="Calibri" w:cstheme="minorHAnsi"/>
        </w:rPr>
      </w:pPr>
      <w:r w:rsidRPr="00151920">
        <w:rPr>
          <w:rFonts w:eastAsia="Calibri" w:cstheme="minorHAnsi"/>
        </w:rPr>
        <w:t>2. Με απόφαση του Υπουργού Παιδείας, Θρησκευμάτων και Αθλητισμού οι οργανικές θέσεις κατά κλάδο/ειδικότητα της παρ. 1 κατανέμονται σε Διευθύνσεις Εκπαίδευσης, ανά περιοχή μετάθεσης και σε σχολικές μονάδες και διατίθενται για την οριστική τοποθέτηση εκπαιδευτικών που βρίσκονται στη διάθεση των περιφερειακών υπηρεσιακών συμβουλίων και την εξέταση εμπρόθεσμων αιτήσεων μετάθεσης κατά το σχολικό έτος 2024-2025, οι οποίες δεν ικανοποιήθηκαν ως προς οποιαδήποτε επιλογή. Οι οργανικές θέσεις που απομένουν κενές, μετά την εξέταση των ως άνω αιτήσεων μετάθεσης, διατίθενται για διορισμό.</w:t>
      </w:r>
    </w:p>
    <w:p w14:paraId="6B68B934" w14:textId="5D6C8835" w:rsidR="00B84EBB" w:rsidRPr="00151920" w:rsidRDefault="76EB2516" w:rsidP="003A0DDF">
      <w:pPr>
        <w:spacing w:after="0"/>
        <w:contextualSpacing/>
        <w:jc w:val="both"/>
        <w:rPr>
          <w:rFonts w:eastAsia="Calibri" w:cstheme="minorHAnsi"/>
        </w:rPr>
      </w:pPr>
      <w:r w:rsidRPr="00151920">
        <w:rPr>
          <w:rFonts w:eastAsia="Calibri" w:cstheme="minorHAnsi"/>
        </w:rPr>
        <w:t>3. Οι οργανικές θέσεις της δευτεροβάθμιας εκπαίδευσης που καταργούνται σύμφωνα με την παρ. 1 είναι οι ακόλουθες: οκτακόσιες ογδόντα έξι (886) οργανικές θέσεις του κλάδου ΠΕ02 ΦΙΛΟΛΟΓΟΙ, τετρακόσιες ενενήντα δύο (492) οργανικές θέσεις του κλάδου ΠΕ03 ΜΑΘΗΜΑΤΙΚΟΙ, τετρακόσιες ενενήντα δύο (492) οργανικές θέσεις του κλάδου ΠΕ04 ΦΥΣΙΚΩΝ ΕΠΙΣΤΗΜΩΝ και διακόσιες εξήντα (260) οργανικές θέσεις του κλάδου ΠΕ11 ΦΥΣΙΚΗΣ ΑΓΩΓΗΣ.».</w:t>
      </w:r>
    </w:p>
    <w:p w14:paraId="30F973A6" w14:textId="5E17EA04" w:rsidR="00B84EBB" w:rsidRPr="00151920" w:rsidRDefault="76EB2516" w:rsidP="00151920">
      <w:pPr>
        <w:spacing w:after="0"/>
        <w:jc w:val="both"/>
        <w:rPr>
          <w:rFonts w:eastAsia="Calibri" w:cstheme="minorHAnsi"/>
        </w:rPr>
      </w:pPr>
      <w:r w:rsidRPr="00151920">
        <w:rPr>
          <w:rFonts w:eastAsia="Calibri" w:cstheme="minorHAnsi"/>
        </w:rPr>
        <w:t>2. Στο άρθρο 35 του ν. 3699/2008 (Α’ 199), περί μεταβατικών και καταργούμενων διατάξεων, προστίθεται παρ. 4 ως εξής:</w:t>
      </w:r>
    </w:p>
    <w:p w14:paraId="77DE0B62" w14:textId="5334DBA3" w:rsidR="00B84EBB" w:rsidRPr="00151920" w:rsidRDefault="76EB2516" w:rsidP="00151920">
      <w:pPr>
        <w:spacing w:after="0"/>
        <w:jc w:val="both"/>
        <w:rPr>
          <w:rFonts w:eastAsia="Calibri" w:cstheme="minorHAnsi"/>
        </w:rPr>
      </w:pPr>
      <w:r w:rsidRPr="00151920">
        <w:rPr>
          <w:rFonts w:eastAsia="Calibri" w:cstheme="minorHAnsi"/>
        </w:rPr>
        <w:t>«4. Κατά το σχολικό έτος 2024-2025, οι οργανικές θέσεις κατά κλάδο και ειδικότητα, που προκύπτουν κατόπιν έκδοσης της κοινής απόφασης του δεύτερου εδαφίου της παρ. 4 του άρθρου 34 και σύμφωνα με τα οριζόμενα στην περ. γ) της παρ. 1 του άρθρου 6, διατίθενται για την οριστική τοποθέτηση εκπαιδευτικών που βρίσκονται στη διάθεση των περιφερειακών υπηρεσιακών συμβουλίων και την εξέταση εμπρόθεσμων αιτήσεων μετάθεσης, οι οποίες δεν ικανοποιήθηκαν ως προς οποιαδήποτε επιλογή. Οι οργανικές θέσεις που απομένουν κενές, μετά από την εξέταση των ως άνω αιτήσεων μετάθεσης, διατίθενται για διορισμό.».</w:t>
      </w:r>
    </w:p>
    <w:p w14:paraId="05F7E196" w14:textId="0A8A63A1" w:rsidR="00B84EBB" w:rsidRPr="00151920" w:rsidRDefault="00AB0C3B" w:rsidP="00151920">
      <w:pPr>
        <w:pStyle w:val="CommentText"/>
        <w:spacing w:after="0" w:line="276" w:lineRule="auto"/>
        <w:jc w:val="both"/>
        <w:rPr>
          <w:rFonts w:eastAsia="Calibri" w:cstheme="minorHAnsi"/>
          <w:sz w:val="22"/>
          <w:szCs w:val="22"/>
        </w:rPr>
      </w:pPr>
      <w:r w:rsidRPr="00151920">
        <w:rPr>
          <w:rFonts w:eastAsia="Calibri" w:cstheme="minorHAnsi"/>
          <w:sz w:val="22"/>
          <w:szCs w:val="22"/>
        </w:rPr>
        <w:lastRenderedPageBreak/>
        <w:t xml:space="preserve">3. </w:t>
      </w:r>
      <w:r w:rsidR="76EB2516" w:rsidRPr="00151920">
        <w:rPr>
          <w:rFonts w:eastAsia="Calibri" w:cstheme="minorHAnsi"/>
          <w:sz w:val="22"/>
          <w:szCs w:val="22"/>
        </w:rPr>
        <w:t>Στο άρθρο 200 του ν. 5094/2024 (Α΄ 39), περί της ημερομηνία</w:t>
      </w:r>
      <w:r w:rsidR="00976A3C" w:rsidRPr="00151920">
        <w:rPr>
          <w:rFonts w:eastAsia="Calibri" w:cstheme="minorHAnsi"/>
          <w:sz w:val="22"/>
          <w:szCs w:val="22"/>
        </w:rPr>
        <w:t>ς</w:t>
      </w:r>
      <w:r w:rsidR="76EB2516" w:rsidRPr="00151920">
        <w:rPr>
          <w:rFonts w:eastAsia="Calibri" w:cstheme="minorHAnsi"/>
          <w:sz w:val="22"/>
          <w:szCs w:val="22"/>
        </w:rPr>
        <w:t xml:space="preserve"> σύναψης της ηλεκτρονικής σύμβασης εργασίας των προσωρινών αναπληρωτών εκπαιδευτικών και μελών Ειδικού Εκπαιδευτικού Προσωπικού Ειδικού Βοηθητικού Προσωπικού, επέρχονται οι ακόλουθες τροποποιήσεις: α) στον τίτλο, μετά από τις λέξεις «του Σεπτεμβρίου 2023 για το έτος 2023-2024», προστίθενται οι λέξεις «και κατά τις προσλήψεις του Σεπτεμβρίου 2024 για το έτος 2024-2025», β) η υφιστάμενη παράγραφος αριθμείται ως παρ. 1, γ) προστίθεται παρ. 2 και το άρθρο 200 διαμορφώνεται ως εξής:</w:t>
      </w:r>
    </w:p>
    <w:p w14:paraId="3FFF36C8" w14:textId="77777777" w:rsidR="00B84EBB" w:rsidRPr="00151920" w:rsidRDefault="76EB2516" w:rsidP="00151920">
      <w:pPr>
        <w:pStyle w:val="CommentText"/>
        <w:spacing w:after="0" w:line="276" w:lineRule="auto"/>
        <w:jc w:val="center"/>
        <w:rPr>
          <w:rFonts w:eastAsia="Calibri" w:cstheme="minorHAnsi"/>
          <w:sz w:val="22"/>
          <w:szCs w:val="22"/>
        </w:rPr>
      </w:pPr>
      <w:r w:rsidRPr="00151920">
        <w:rPr>
          <w:rFonts w:eastAsia="Calibri" w:cstheme="minorHAnsi"/>
          <w:sz w:val="22"/>
          <w:szCs w:val="22"/>
        </w:rPr>
        <w:t>«Άρθρο 200</w:t>
      </w:r>
    </w:p>
    <w:p w14:paraId="3CE577B0" w14:textId="77777777" w:rsidR="00B84EBB" w:rsidRPr="00151920" w:rsidRDefault="76EB2516" w:rsidP="00151920">
      <w:pPr>
        <w:pStyle w:val="CommentText"/>
        <w:spacing w:after="0" w:line="276" w:lineRule="auto"/>
        <w:jc w:val="center"/>
        <w:rPr>
          <w:rFonts w:eastAsia="Calibri" w:cstheme="minorHAnsi"/>
          <w:sz w:val="22"/>
          <w:szCs w:val="22"/>
        </w:rPr>
      </w:pPr>
      <w:r w:rsidRPr="00151920">
        <w:rPr>
          <w:rFonts w:eastAsia="Calibri" w:cstheme="minorHAnsi"/>
          <w:sz w:val="22"/>
          <w:szCs w:val="22"/>
        </w:rPr>
        <w:t>Ρύθμιση σχετικά με την ημερομηνία σύναψης της ηλεκτρονικής σύμβασης εργασίας των προσωρινών αναπληρωτών εκπαιδευτικών και μελών Ειδικού Εκπαιδευτικού Προσωπικού Ειδικού Βοηθητικού Προσωπικού κατά τις προσλήψεις του Σεπτεμβρίου 2023 για το έτος 2023-2024 και κατά τις προσλήψεις του Σεπτεμβρίου 2024 για το έτος 2024-2025</w:t>
      </w:r>
    </w:p>
    <w:p w14:paraId="4E305917" w14:textId="77777777" w:rsidR="00B84EBB" w:rsidRPr="00151920" w:rsidRDefault="76EB2516" w:rsidP="00151920">
      <w:pPr>
        <w:pStyle w:val="CommentText"/>
        <w:spacing w:after="0" w:line="276" w:lineRule="auto"/>
        <w:jc w:val="both"/>
        <w:rPr>
          <w:rFonts w:eastAsia="Calibri" w:cstheme="minorHAnsi"/>
          <w:sz w:val="22"/>
          <w:szCs w:val="22"/>
        </w:rPr>
      </w:pPr>
      <w:r w:rsidRPr="00151920">
        <w:rPr>
          <w:rFonts w:eastAsia="Calibri" w:cstheme="minorHAnsi"/>
          <w:sz w:val="22"/>
          <w:szCs w:val="22"/>
        </w:rPr>
        <w:t>1. Για όσους προσωρινούς αναπληρωτές εκπαιδευτικούς και μέλη Ειδικού Εκπαιδευτικού Προσωπικού (Ε.Ε.Π.) Ειδικού Βοηθητικού Προσωπικού (Ε.Β.Π.) που κατά τις προσλήψεις του μηνός Σεπτεμβρίου 2023 για το έτος 2023-2024 δεν ολοκληρώθηκε για τεχνικούς λόγους η σύναψη της ηλεκτρονικής σύμβασης εργασίας τους την ημέρα που παρουσιάστηκαν σε σχολική μονάδα ή Κέντρα Διεπιστημονικής Αξιολόγησης, Συμβουλευτικής και Υποστήριξης (ΚΕ.Δ.Α.Σ.Υ.) ή δομή εκπαίδευσης, ως ημερομηνία ανάληψης υπηρεσίας και κατάρτισης της σύμβασης λογίζεται η ημερομηνία παρουσίασής τους από την οποία και εκκινούν τα μισθολογικά και ασφαλιστικά τους δικαιώματα.</w:t>
      </w:r>
    </w:p>
    <w:p w14:paraId="5B9902CE" w14:textId="77777777" w:rsidR="00B84EBB" w:rsidRPr="00151920" w:rsidRDefault="76EB2516" w:rsidP="00151920">
      <w:pPr>
        <w:pStyle w:val="CommentText"/>
        <w:spacing w:after="0" w:line="276" w:lineRule="auto"/>
        <w:jc w:val="both"/>
        <w:rPr>
          <w:rFonts w:eastAsia="Calibri" w:cstheme="minorHAnsi"/>
          <w:sz w:val="22"/>
          <w:szCs w:val="22"/>
        </w:rPr>
      </w:pPr>
      <w:r w:rsidRPr="00151920">
        <w:rPr>
          <w:rFonts w:eastAsia="Calibri" w:cstheme="minorHAnsi"/>
          <w:sz w:val="22"/>
          <w:szCs w:val="22"/>
        </w:rPr>
        <w:t>2. Η παρ. 1 εφαρμόζεται και για τις προσλήψεις του μηνός Σεπτεμβρίου 2024 που αφορούν το έτος 2024-2025.».</w:t>
      </w:r>
    </w:p>
    <w:p w14:paraId="7D410977" w14:textId="77777777" w:rsidR="00AB0C3B" w:rsidRPr="00151920" w:rsidRDefault="00AB0C3B" w:rsidP="00151920">
      <w:pPr>
        <w:spacing w:after="0"/>
        <w:jc w:val="center"/>
        <w:rPr>
          <w:rFonts w:eastAsia="Calibri" w:cstheme="minorHAnsi"/>
          <w:b/>
          <w:bCs/>
        </w:rPr>
      </w:pPr>
    </w:p>
    <w:p w14:paraId="180D759A" w14:textId="29439928" w:rsidR="00B84EBB" w:rsidRPr="00151920" w:rsidRDefault="76EB2516" w:rsidP="00151920">
      <w:pPr>
        <w:spacing w:after="0"/>
        <w:jc w:val="center"/>
        <w:rPr>
          <w:rFonts w:eastAsia="Calibri" w:cstheme="minorHAnsi"/>
          <w:b/>
          <w:bCs/>
        </w:rPr>
      </w:pPr>
      <w:r w:rsidRPr="00151920">
        <w:rPr>
          <w:rFonts w:eastAsia="Calibri" w:cstheme="minorHAnsi"/>
          <w:b/>
          <w:bCs/>
        </w:rPr>
        <w:t xml:space="preserve">Άρθρο </w:t>
      </w:r>
      <w:r w:rsidR="00AB0C3B" w:rsidRPr="00151920">
        <w:rPr>
          <w:rFonts w:eastAsia="Calibri" w:cstheme="minorHAnsi"/>
          <w:b/>
          <w:bCs/>
        </w:rPr>
        <w:t>5</w:t>
      </w:r>
    </w:p>
    <w:p w14:paraId="5765437A" w14:textId="7FAB83D1" w:rsidR="00B84EBB" w:rsidRPr="00151920" w:rsidRDefault="76EB2516" w:rsidP="00151920">
      <w:pPr>
        <w:spacing w:after="0"/>
        <w:jc w:val="center"/>
        <w:rPr>
          <w:rFonts w:eastAsia="Calibri" w:cstheme="minorHAnsi"/>
          <w:b/>
          <w:bCs/>
        </w:rPr>
      </w:pPr>
      <w:r w:rsidRPr="00151920">
        <w:rPr>
          <w:rFonts w:eastAsia="Calibri" w:cstheme="minorHAnsi"/>
          <w:b/>
          <w:bCs/>
        </w:rPr>
        <w:t>Διδακτικά βιβλία – Μητρώο Διδακτικών Βιβλίων – Ψηφιακή Βιβλιοθήκη Διδακτικών Βιβλίων – Τροποποίηση παρ. 24 άρθρου 84 ν. 4823/2021</w:t>
      </w:r>
    </w:p>
    <w:p w14:paraId="713ED8E2" w14:textId="1AE8EB25" w:rsidR="00B84EBB" w:rsidRPr="00151920" w:rsidRDefault="76EB2516" w:rsidP="00151920">
      <w:pPr>
        <w:spacing w:after="0"/>
        <w:jc w:val="both"/>
        <w:rPr>
          <w:rFonts w:eastAsia="Calibri" w:cstheme="minorHAnsi"/>
        </w:rPr>
      </w:pPr>
      <w:r w:rsidRPr="00151920">
        <w:rPr>
          <w:rFonts w:eastAsia="Calibri" w:cstheme="minorHAnsi"/>
        </w:rPr>
        <w:t>Στην παρ. 24 του άρθρου 84 του ν. 4823/2021 (Α΄ 136), περί των διδακτικών βιβλίων, του Μητρώου Διδακτικών Βιβλίων (Μ.Δ.Β.) και της Ψηφιακής Βιβλιοθήκης Διδακτικών Βιβλίων (Ψ.Β.Δ.Β.), επέρχονται οι ακόλουθες τροποποιήσεις: α) η υφιστάμενη μόνη παράγραφος αριθμείται ως περ. α), β)</w:t>
      </w:r>
      <w:r w:rsidR="1D4ABB12" w:rsidRPr="00151920">
        <w:rPr>
          <w:rFonts w:eastAsia="Calibri" w:cstheme="minorHAnsi"/>
        </w:rPr>
        <w:t>,</w:t>
      </w:r>
      <w:r w:rsidRPr="00151920">
        <w:rPr>
          <w:rFonts w:eastAsia="Calibri" w:cstheme="minorHAnsi"/>
        </w:rPr>
        <w:t xml:space="preserve"> προστίθεται περ. β) και η παρ. 24 διαμορφώνεται ως εξής:</w:t>
      </w:r>
    </w:p>
    <w:p w14:paraId="68305CAA" w14:textId="21E8E32C" w:rsidR="00B84EBB" w:rsidRPr="00151920" w:rsidRDefault="76EB2516" w:rsidP="00151920">
      <w:pPr>
        <w:spacing w:after="0"/>
        <w:jc w:val="both"/>
        <w:rPr>
          <w:rFonts w:eastAsia="Calibri" w:cstheme="minorHAnsi"/>
        </w:rPr>
      </w:pPr>
      <w:r w:rsidRPr="00151920">
        <w:rPr>
          <w:rFonts w:eastAsia="Calibri" w:cstheme="minorHAnsi"/>
        </w:rPr>
        <w:t>«24.</w:t>
      </w:r>
      <w:r w:rsidR="00B84EBB" w:rsidRPr="00151920">
        <w:rPr>
          <w:rFonts w:cstheme="minorHAnsi"/>
        </w:rPr>
        <w:tab/>
      </w:r>
      <w:r w:rsidRPr="00151920">
        <w:rPr>
          <w:rFonts w:eastAsia="Calibri" w:cstheme="minorHAnsi"/>
        </w:rPr>
        <w:t>α) Εγκεκριμένοι φορείς, που συμμετείχαν στην υπό στοιχεία 46978/ΓΔ4/25.4.2023 πρόσκληση εκδήλωσης ενδιαφέροντος του Υπουργού Παιδείας, Θρησκευμάτων και Αθλητισμού, οι οποίοι έχουν αναρτήσει εμπροθέσμως το σύνολο ή μέρος του αξιολογούμενου υλικού στην πλατφόρμα του Ι.Τ.Υ.Ε. «ΔΙΟΦΑΝΤΟΣ», πλην όμως η οριστική υποβολή του δεν ολοκληρώθηκε για οποιονδήποτε λόγο, δύνανται εντός δέκα (10) ημερών από τη δημοσίευση του παρόντος, να αναρτήσουν οριστικά το υλικό, με μόνη προϋπόθεση την προσκόμιση βεβαίωσης του Ι.Τ.Υ.Ε. «ΔΙΟΦΑΝΤΟΣ» στην οποία πιστοποιείται η υποβολή μέρους ή του συνόλου του υλικού στη σχετική πλατφόρμα του Ι.Τ.Υ.Ε.- «ΔΙΟΦΑΝΤΟΣ» πριν από τη λήξη της καταληκτικής προθεσμίας ανάρτησης του αξιολογούμενου υλικού. Αν οι ως άνω εγκεκριμένοι συμμετέχοντες ανήρτησαν εμπρόθεσμα το απαραίτητο υλικό στη σχετική πλατφόρμα, πλην όμως αυτό δεν αντιστοιχεί στο συνολικό αξιολογούμενο υλικό των διδακτικών βιβλίων, σε σχέση με αυτό το οποίο περιλάμβανε η εγκεκριμένη αίτηση συμμετοχής τους, δύνανται, εντός δέκα (10) ημερών από τη δημοσίευση του παρόντος και χωρίς άλλη διατύπωση, να υποβάλουν το υπολειπόμενο υλικό τους. Αν οι ως άνω εγκεκριμένοι συμμετέχοντες ανάρτησαν εμπρόθεσμα, αλλά εκ παραδρομής εσφαλμένο υλικό ή υλικό που χρήζει αναγκαίων διορθώσεων ή βελτιώσεων, δύνανται, εντός δέκα (10) ημερών από τη δημοσίευση του παρόντος και χωρίς άλλη διατύπωση, να υποβάλλουν εκ νέου το υλικό με τις αναγκαίες διορθώσεις. Το τελευταίο εδάφιο της παρ. 6 εφαρμόζεται και για τις προτάσεις που υποβάλλονται σύμφωνα με την παρούσα</w:t>
      </w:r>
      <w:r w:rsidR="001B52BB">
        <w:rPr>
          <w:rFonts w:eastAsia="Calibri" w:cstheme="minorHAnsi"/>
        </w:rPr>
        <w:t>.</w:t>
      </w:r>
    </w:p>
    <w:p w14:paraId="1666111B" w14:textId="421D1B22" w:rsidR="00B84EBB" w:rsidRPr="00151920" w:rsidRDefault="76EB2516" w:rsidP="00151920">
      <w:pPr>
        <w:spacing w:after="0"/>
        <w:jc w:val="both"/>
        <w:rPr>
          <w:rFonts w:eastAsia="Calibri" w:cstheme="minorHAnsi"/>
        </w:rPr>
      </w:pPr>
      <w:r w:rsidRPr="00151920">
        <w:rPr>
          <w:rFonts w:eastAsia="Calibri" w:cstheme="minorHAnsi"/>
        </w:rPr>
        <w:lastRenderedPageBreak/>
        <w:t xml:space="preserve">β) Οι επιστημονικές επιτροπές της παρ. 6 αξιολογούν και εισηγούνται την ένταξη ή μη στο Μ.Δ.Β. και στην Ψ.Β.Δ.Β διδακτικού βιβλίου που έχει υποβληθεί στο πλαίσιο της υπό στοιχεία 46978/ΓΔ4/25.4.2023 πρόσκλησης εκδήλωσης ενδιαφέροντος του Υπουργού Παιδείας, Θρησκευμάτων και Αθλητισμού, ακόμα και αν ο εγκεκριμένος φορέας - δικαιούχος δεν έχει καταθέσει το διδακτικό βιβλίο σε μορφή αρχείου ηλεκτρονικής έκδοσης (EPUB 3) και / ή διαδραστικής φορητής μορφής εγγράφου (Interactive PDF) μέχρι τις 18 Ιουλίου 2025. Αν ενταχθεί διδακτικό πακέτο στο Μ.Δ.Β. και στην Ψ.Β.Δ.Β, σύμφωνα με την παρ. 12, δίχως να έχουν υποβληθεί και οι δύο (2) ψηφιακές μορφές του προηγούμενου εδαφίου, ο νόμιμος δικαιούχος του διδακτικού βιβλίου δύναται να λάβει μόνο τα δύο τρίτα (2/3) της εφάπαξ εύλογης αποζημίωσης ένταξης της παρ. 10 σύμφωνα με την παρ. 22, ενώ το υπόλοιπο ένα τρίτο (1/3) της αποζημίωσης ένταξης δικαιούται να το λάβει σύμφωνα με την παρ. 22 μόνο εφόσον: </w:t>
      </w:r>
    </w:p>
    <w:p w14:paraId="0B555860" w14:textId="25947A0F" w:rsidR="00B84EBB" w:rsidRPr="00151920" w:rsidRDefault="76EB2516" w:rsidP="00151920">
      <w:pPr>
        <w:spacing w:after="0"/>
        <w:jc w:val="both"/>
        <w:rPr>
          <w:rFonts w:eastAsia="Calibri" w:cstheme="minorHAnsi"/>
        </w:rPr>
      </w:pPr>
      <w:r w:rsidRPr="00151920">
        <w:rPr>
          <w:rFonts w:eastAsia="Calibri" w:cstheme="minorHAnsi"/>
        </w:rPr>
        <w:t xml:space="preserve">βα) υποβάλει το βιβλίο και στις δύο (2) ψηφιακές μορφές μέχρι και την 5η Δεκεμβρίου 2025 και </w:t>
      </w:r>
    </w:p>
    <w:p w14:paraId="21CAD95E" w14:textId="0155051B" w:rsidR="00B84EBB" w:rsidRPr="00151920" w:rsidRDefault="76EB2516" w:rsidP="00151920">
      <w:pPr>
        <w:spacing w:after="0"/>
        <w:jc w:val="both"/>
        <w:rPr>
          <w:rFonts w:eastAsia="Calibri" w:cstheme="minorHAnsi"/>
        </w:rPr>
      </w:pPr>
      <w:r w:rsidRPr="00151920">
        <w:rPr>
          <w:rFonts w:eastAsia="Calibri" w:cstheme="minorHAnsi"/>
        </w:rPr>
        <w:t xml:space="preserve">ββ) οι δύο (2) αυτές ψηφιακές μορφές, μετά την εμπρόθεσμη υποβολή τους, αξιολογηθούν θετικά από τις επιστημονικές επιτροπές της παρ. 6. </w:t>
      </w:r>
    </w:p>
    <w:p w14:paraId="79DE3692" w14:textId="708B4495" w:rsidR="00DE10A6" w:rsidRDefault="76EB2516" w:rsidP="00151920">
      <w:pPr>
        <w:spacing w:after="0"/>
        <w:jc w:val="both"/>
        <w:rPr>
          <w:rFonts w:eastAsia="Calibri" w:cstheme="minorHAnsi"/>
        </w:rPr>
      </w:pPr>
      <w:r w:rsidRPr="00151920">
        <w:rPr>
          <w:rFonts w:eastAsia="Calibri" w:cstheme="minorHAnsi"/>
        </w:rPr>
        <w:t>Αν οι δύο (2) ψηφιακές μορφές δεν υποβληθούν εντός της προθεσμίας της υποπερ. βα) ή δεν αξιολογηθούν θετικά από τις επιστημονικές επιτροπές της παρ. 6, το διδακτικό πακέτο απεντάσσεται αυτοδικαίως από το Μ.Δ.Β. και την Ψ.Β.Δ.Β.. Για την απένταξη εκδίδεται διαπιστωτική απόφαση του Υπουργού Παιδείας, Θρησκευμάτων και Αθλητισμού, κατόπιν εισήγησης του Ι.Ε.Π., και ο νόμιμος δικαιούχος του διδακτικού βιβλίου επιστρέφει εις διπλούν το μέρος της αποζημίωσης ένταξης που του ήδη έχει καταβληθεί. Στο συμφωνητικό της παρ. 9 γίνεται αναφορά όσων προβλέπονται στα δύο προηγούμενα εδάφια.».</w:t>
      </w:r>
    </w:p>
    <w:p w14:paraId="29D2F2D4" w14:textId="1CBA7BAB" w:rsidR="00923FD8" w:rsidRDefault="00923FD8" w:rsidP="00151920">
      <w:pPr>
        <w:spacing w:after="0"/>
        <w:jc w:val="both"/>
        <w:rPr>
          <w:rFonts w:eastAsia="Calibri" w:cstheme="minorHAnsi"/>
        </w:rPr>
      </w:pPr>
    </w:p>
    <w:p w14:paraId="392721FE" w14:textId="2D4FE311" w:rsidR="00923FD8" w:rsidRDefault="00923FD8">
      <w:pPr>
        <w:rPr>
          <w:rFonts w:eastAsia="Calibri" w:cstheme="minorHAnsi"/>
        </w:rPr>
      </w:pPr>
      <w:r>
        <w:rPr>
          <w:rFonts w:eastAsia="Calibri" w:cstheme="minorHAnsi"/>
        </w:rPr>
        <w:br w:type="page"/>
      </w:r>
    </w:p>
    <w:p w14:paraId="569C0AB2" w14:textId="77777777" w:rsidR="00923FD8" w:rsidRPr="00923FD8" w:rsidRDefault="00923FD8" w:rsidP="00923FD8">
      <w:pPr>
        <w:spacing w:after="0"/>
        <w:contextualSpacing/>
        <w:jc w:val="right"/>
        <w:rPr>
          <w:rFonts w:ascii="Calibri" w:eastAsia="Calibri" w:hAnsi="Calibri" w:cs="Calibri"/>
          <w:b/>
        </w:rPr>
      </w:pPr>
      <w:r w:rsidRPr="00923FD8">
        <w:rPr>
          <w:rFonts w:ascii="Calibri" w:eastAsia="Calibri" w:hAnsi="Calibri" w:cs="Calibri"/>
          <w:b/>
        </w:rPr>
        <w:lastRenderedPageBreak/>
        <w:t xml:space="preserve">Αθήνα, 9 Ιουλίου 2025 </w:t>
      </w:r>
    </w:p>
    <w:p w14:paraId="3B5336BD" w14:textId="77777777" w:rsidR="00923FD8" w:rsidRPr="00923FD8" w:rsidRDefault="00923FD8" w:rsidP="00923FD8">
      <w:pPr>
        <w:spacing w:after="0"/>
        <w:contextualSpacing/>
        <w:jc w:val="right"/>
        <w:rPr>
          <w:rFonts w:ascii="Calibri" w:eastAsia="Calibri" w:hAnsi="Calibri" w:cs="Calibri"/>
          <w:b/>
        </w:rPr>
      </w:pPr>
    </w:p>
    <w:p w14:paraId="0267D5F8" w14:textId="77777777" w:rsidR="00923FD8" w:rsidRPr="00923FD8" w:rsidRDefault="00923FD8" w:rsidP="00923FD8">
      <w:pPr>
        <w:spacing w:after="0"/>
        <w:contextualSpacing/>
        <w:jc w:val="center"/>
        <w:rPr>
          <w:rFonts w:ascii="Calibri" w:eastAsia="Calibri" w:hAnsi="Calibri" w:cs="Calibri"/>
          <w:b/>
        </w:rPr>
      </w:pPr>
      <w:r w:rsidRPr="00923FD8">
        <w:rPr>
          <w:rFonts w:ascii="Calibri" w:eastAsia="Calibri" w:hAnsi="Calibri" w:cs="Calibri"/>
          <w:b/>
        </w:rPr>
        <w:t>ΟΙ ΥΠΟΥΡΓΟΙ</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67"/>
        <w:gridCol w:w="3075"/>
      </w:tblGrid>
      <w:tr w:rsidR="00923FD8" w:rsidRPr="00923FD8" w14:paraId="631D50F3" w14:textId="77777777" w:rsidTr="00441700">
        <w:tc>
          <w:tcPr>
            <w:tcW w:w="3247" w:type="dxa"/>
          </w:tcPr>
          <w:p w14:paraId="64882E62"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ΕΘΝΙΚΗΣ ΟΙΚΟΝΟΜΙΑΣ ΚΑΙ ΟΙΚΟΝΟΜΙΚΩΝ</w:t>
            </w:r>
          </w:p>
        </w:tc>
        <w:tc>
          <w:tcPr>
            <w:tcW w:w="3247" w:type="dxa"/>
          </w:tcPr>
          <w:p w14:paraId="576854A6"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ΕΘΝΙΚΗΣ ΑΜΥΝΑΣ</w:t>
            </w:r>
          </w:p>
        </w:tc>
        <w:tc>
          <w:tcPr>
            <w:tcW w:w="3248" w:type="dxa"/>
          </w:tcPr>
          <w:p w14:paraId="58843620"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ΕΣΩΤΕΡΙΚΩΝ</w:t>
            </w:r>
          </w:p>
        </w:tc>
      </w:tr>
      <w:tr w:rsidR="00923FD8" w:rsidRPr="00923FD8" w14:paraId="4CD79237" w14:textId="77777777" w:rsidTr="00441700">
        <w:trPr>
          <w:trHeight w:val="1241"/>
        </w:trPr>
        <w:tc>
          <w:tcPr>
            <w:tcW w:w="3247" w:type="dxa"/>
          </w:tcPr>
          <w:p w14:paraId="76B7669F" w14:textId="77777777" w:rsidR="00923FD8" w:rsidRPr="00923FD8" w:rsidRDefault="00923FD8" w:rsidP="00923FD8">
            <w:pPr>
              <w:jc w:val="center"/>
              <w:rPr>
                <w:rFonts w:ascii="Calibri" w:eastAsia="Calibri" w:hAnsi="Calibri" w:cs="Calibri"/>
              </w:rPr>
            </w:pPr>
          </w:p>
        </w:tc>
        <w:tc>
          <w:tcPr>
            <w:tcW w:w="3247" w:type="dxa"/>
          </w:tcPr>
          <w:p w14:paraId="74E8D4A0" w14:textId="77777777" w:rsidR="00923FD8" w:rsidRPr="00923FD8" w:rsidRDefault="00923FD8" w:rsidP="00923FD8">
            <w:pPr>
              <w:jc w:val="center"/>
              <w:rPr>
                <w:rFonts w:ascii="Calibri" w:eastAsia="Calibri" w:hAnsi="Calibri" w:cs="Calibri"/>
              </w:rPr>
            </w:pPr>
          </w:p>
        </w:tc>
        <w:tc>
          <w:tcPr>
            <w:tcW w:w="3248" w:type="dxa"/>
          </w:tcPr>
          <w:p w14:paraId="2331E980" w14:textId="77777777" w:rsidR="00923FD8" w:rsidRPr="00923FD8" w:rsidRDefault="00923FD8" w:rsidP="00923FD8">
            <w:pPr>
              <w:jc w:val="center"/>
              <w:rPr>
                <w:rFonts w:ascii="Calibri" w:eastAsia="Calibri" w:hAnsi="Calibri" w:cs="Calibri"/>
              </w:rPr>
            </w:pPr>
          </w:p>
        </w:tc>
      </w:tr>
      <w:tr w:rsidR="00923FD8" w:rsidRPr="00923FD8" w14:paraId="4216484C" w14:textId="77777777" w:rsidTr="00441700">
        <w:tc>
          <w:tcPr>
            <w:tcW w:w="3247" w:type="dxa"/>
          </w:tcPr>
          <w:p w14:paraId="05112319"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ΚΥΡΙΑΚΟΣ ΠΙΕΡΡΑΚΑΚΗΣ</w:t>
            </w:r>
          </w:p>
        </w:tc>
        <w:tc>
          <w:tcPr>
            <w:tcW w:w="3247" w:type="dxa"/>
          </w:tcPr>
          <w:p w14:paraId="7D7C24C2"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ΝΙΚΟΛΑΟΣ – ΓΕΩΡΓΙΟΣ ΔΕΝΔΙΑΣ</w:t>
            </w:r>
          </w:p>
        </w:tc>
        <w:tc>
          <w:tcPr>
            <w:tcW w:w="3248" w:type="dxa"/>
          </w:tcPr>
          <w:p w14:paraId="1E9B2CE6"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ΘΕΟΔΩΡΟΣ ΛΙΒΑΝΙΟΣ</w:t>
            </w:r>
          </w:p>
        </w:tc>
      </w:tr>
      <w:tr w:rsidR="00923FD8" w:rsidRPr="00923FD8" w14:paraId="2216CBF0" w14:textId="77777777" w:rsidTr="00441700">
        <w:tc>
          <w:tcPr>
            <w:tcW w:w="3247" w:type="dxa"/>
          </w:tcPr>
          <w:p w14:paraId="6BE07628" w14:textId="77777777" w:rsidR="00923FD8" w:rsidRPr="00923FD8" w:rsidRDefault="00923FD8" w:rsidP="00923FD8">
            <w:pPr>
              <w:jc w:val="center"/>
              <w:rPr>
                <w:rFonts w:ascii="Calibri" w:eastAsia="Calibri" w:hAnsi="Calibri" w:cs="Calibri"/>
              </w:rPr>
            </w:pPr>
          </w:p>
        </w:tc>
        <w:tc>
          <w:tcPr>
            <w:tcW w:w="3247" w:type="dxa"/>
          </w:tcPr>
          <w:p w14:paraId="1D21C19D" w14:textId="77777777" w:rsidR="00923FD8" w:rsidRPr="00923FD8" w:rsidRDefault="00923FD8" w:rsidP="00923FD8">
            <w:pPr>
              <w:jc w:val="center"/>
              <w:rPr>
                <w:rFonts w:ascii="Calibri" w:eastAsia="Calibri" w:hAnsi="Calibri" w:cs="Calibri"/>
              </w:rPr>
            </w:pPr>
          </w:p>
        </w:tc>
        <w:tc>
          <w:tcPr>
            <w:tcW w:w="3248" w:type="dxa"/>
          </w:tcPr>
          <w:p w14:paraId="330D58DC" w14:textId="77777777" w:rsidR="00923FD8" w:rsidRPr="00923FD8" w:rsidRDefault="00923FD8" w:rsidP="00923FD8">
            <w:pPr>
              <w:jc w:val="center"/>
              <w:rPr>
                <w:rFonts w:ascii="Calibri" w:eastAsia="Calibri" w:hAnsi="Calibri" w:cs="Calibri"/>
              </w:rPr>
            </w:pPr>
          </w:p>
        </w:tc>
      </w:tr>
      <w:tr w:rsidR="00923FD8" w:rsidRPr="00923FD8" w14:paraId="4234E199" w14:textId="77777777" w:rsidTr="00441700">
        <w:tc>
          <w:tcPr>
            <w:tcW w:w="3247" w:type="dxa"/>
          </w:tcPr>
          <w:p w14:paraId="5F9A6BC2"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ΠΑΙΔΕΙΑΣ, ΘΡΗΣΚΕΥΜΑΤΩΝ ΚΑΙ ΑΘΛΗΤΙΣΜΟΥ</w:t>
            </w:r>
          </w:p>
        </w:tc>
        <w:tc>
          <w:tcPr>
            <w:tcW w:w="3247" w:type="dxa"/>
          </w:tcPr>
          <w:p w14:paraId="4224ECCF"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ΥΠΟΔΟΜΩΝ ΚΑΙ ΜΕΤΑΦΟΡΩΝ</w:t>
            </w:r>
          </w:p>
        </w:tc>
        <w:tc>
          <w:tcPr>
            <w:tcW w:w="3248" w:type="dxa"/>
          </w:tcPr>
          <w:p w14:paraId="1D9D9A4B"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ΠΕΡΙΒΑΛΛΟΝΤΟΣ ΚΑΙ ΕΝΕΡΓΕΙΑΣ</w:t>
            </w:r>
          </w:p>
        </w:tc>
      </w:tr>
      <w:tr w:rsidR="00923FD8" w:rsidRPr="00923FD8" w14:paraId="1CED4F34" w14:textId="77777777" w:rsidTr="00441700">
        <w:trPr>
          <w:trHeight w:val="1403"/>
        </w:trPr>
        <w:tc>
          <w:tcPr>
            <w:tcW w:w="3247" w:type="dxa"/>
          </w:tcPr>
          <w:p w14:paraId="01BF86D3" w14:textId="77777777" w:rsidR="00923FD8" w:rsidRPr="00923FD8" w:rsidRDefault="00923FD8" w:rsidP="00923FD8">
            <w:pPr>
              <w:jc w:val="center"/>
              <w:rPr>
                <w:rFonts w:ascii="Calibri" w:eastAsia="Calibri" w:hAnsi="Calibri" w:cs="Calibri"/>
              </w:rPr>
            </w:pPr>
          </w:p>
        </w:tc>
        <w:tc>
          <w:tcPr>
            <w:tcW w:w="3247" w:type="dxa"/>
          </w:tcPr>
          <w:p w14:paraId="2BA3F0C5" w14:textId="77777777" w:rsidR="00923FD8" w:rsidRPr="00923FD8" w:rsidRDefault="00923FD8" w:rsidP="00923FD8">
            <w:pPr>
              <w:jc w:val="center"/>
              <w:rPr>
                <w:rFonts w:ascii="Calibri" w:eastAsia="Calibri" w:hAnsi="Calibri" w:cs="Calibri"/>
              </w:rPr>
            </w:pPr>
          </w:p>
        </w:tc>
        <w:tc>
          <w:tcPr>
            <w:tcW w:w="3248" w:type="dxa"/>
          </w:tcPr>
          <w:p w14:paraId="4B587E2D" w14:textId="77777777" w:rsidR="00923FD8" w:rsidRPr="00923FD8" w:rsidRDefault="00923FD8" w:rsidP="00923FD8">
            <w:pPr>
              <w:jc w:val="center"/>
              <w:rPr>
                <w:rFonts w:ascii="Calibri" w:eastAsia="Calibri" w:hAnsi="Calibri" w:cs="Calibri"/>
              </w:rPr>
            </w:pPr>
          </w:p>
        </w:tc>
      </w:tr>
      <w:tr w:rsidR="00923FD8" w:rsidRPr="00923FD8" w14:paraId="6F5B4215" w14:textId="77777777" w:rsidTr="00441700">
        <w:tc>
          <w:tcPr>
            <w:tcW w:w="3247" w:type="dxa"/>
          </w:tcPr>
          <w:p w14:paraId="570442F9"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ΣΟΦΙΑ ΖΑΧΑΡΑΚΗ</w:t>
            </w:r>
          </w:p>
        </w:tc>
        <w:tc>
          <w:tcPr>
            <w:tcW w:w="3247" w:type="dxa"/>
          </w:tcPr>
          <w:p w14:paraId="598A366D"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ΧΡΙΣΤΟΣ ΔΗΜΑΣ</w:t>
            </w:r>
          </w:p>
        </w:tc>
        <w:tc>
          <w:tcPr>
            <w:tcW w:w="3248" w:type="dxa"/>
          </w:tcPr>
          <w:p w14:paraId="2656E9FC"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ΣΤΑΥΡΟΣ Ν. ΠΑΠΑΣΤΑΥΡΟΥ</w:t>
            </w:r>
          </w:p>
        </w:tc>
      </w:tr>
      <w:tr w:rsidR="00923FD8" w:rsidRPr="00923FD8" w14:paraId="4974CCD4" w14:textId="77777777" w:rsidTr="00441700">
        <w:tc>
          <w:tcPr>
            <w:tcW w:w="3247" w:type="dxa"/>
          </w:tcPr>
          <w:p w14:paraId="1B032228" w14:textId="77777777" w:rsidR="00923FD8" w:rsidRPr="00923FD8" w:rsidRDefault="00923FD8" w:rsidP="00923FD8">
            <w:pPr>
              <w:jc w:val="center"/>
              <w:rPr>
                <w:rFonts w:ascii="Calibri" w:eastAsia="Calibri" w:hAnsi="Calibri" w:cs="Calibri"/>
              </w:rPr>
            </w:pPr>
          </w:p>
        </w:tc>
        <w:tc>
          <w:tcPr>
            <w:tcW w:w="3247" w:type="dxa"/>
          </w:tcPr>
          <w:p w14:paraId="62421C31" w14:textId="77777777" w:rsidR="00923FD8" w:rsidRPr="00923FD8" w:rsidRDefault="00923FD8" w:rsidP="00923FD8">
            <w:pPr>
              <w:jc w:val="center"/>
              <w:rPr>
                <w:rFonts w:ascii="Calibri" w:eastAsia="Calibri" w:hAnsi="Calibri" w:cs="Calibri"/>
              </w:rPr>
            </w:pPr>
          </w:p>
        </w:tc>
        <w:tc>
          <w:tcPr>
            <w:tcW w:w="3248" w:type="dxa"/>
          </w:tcPr>
          <w:p w14:paraId="1D405E77" w14:textId="77777777" w:rsidR="00923FD8" w:rsidRPr="00923FD8" w:rsidRDefault="00923FD8" w:rsidP="00923FD8">
            <w:pPr>
              <w:jc w:val="center"/>
              <w:rPr>
                <w:rFonts w:ascii="Calibri" w:eastAsia="Calibri" w:hAnsi="Calibri" w:cs="Calibri"/>
              </w:rPr>
            </w:pPr>
          </w:p>
        </w:tc>
      </w:tr>
      <w:tr w:rsidR="00923FD8" w:rsidRPr="00923FD8" w14:paraId="1C93F5CE" w14:textId="77777777" w:rsidTr="00441700">
        <w:tc>
          <w:tcPr>
            <w:tcW w:w="3247" w:type="dxa"/>
          </w:tcPr>
          <w:p w14:paraId="20E2B370"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ΑΝΑΠΤΥΞΗΣ</w:t>
            </w:r>
          </w:p>
        </w:tc>
        <w:tc>
          <w:tcPr>
            <w:tcW w:w="3247" w:type="dxa"/>
          </w:tcPr>
          <w:p w14:paraId="340AA209"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ΕΡΓΑΣΙΑΣ ΚΑΙ ΚΟΙΝΩΝΙΚΗΣ ΑΣΦΑΛΙΣΗΣ</w:t>
            </w:r>
          </w:p>
        </w:tc>
        <w:tc>
          <w:tcPr>
            <w:tcW w:w="3248" w:type="dxa"/>
          </w:tcPr>
          <w:p w14:paraId="16F6FEA6"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ΔΙΚΑΙΟΣΥΝΗΣ</w:t>
            </w:r>
          </w:p>
        </w:tc>
      </w:tr>
      <w:tr w:rsidR="00923FD8" w:rsidRPr="00923FD8" w14:paraId="7DA616ED" w14:textId="77777777" w:rsidTr="00441700">
        <w:trPr>
          <w:trHeight w:val="1285"/>
        </w:trPr>
        <w:tc>
          <w:tcPr>
            <w:tcW w:w="3247" w:type="dxa"/>
          </w:tcPr>
          <w:p w14:paraId="7349AEF5" w14:textId="77777777" w:rsidR="00923FD8" w:rsidRPr="00923FD8" w:rsidRDefault="00923FD8" w:rsidP="00923FD8">
            <w:pPr>
              <w:jc w:val="center"/>
              <w:rPr>
                <w:rFonts w:ascii="Calibri" w:eastAsia="Calibri" w:hAnsi="Calibri" w:cs="Calibri"/>
              </w:rPr>
            </w:pPr>
          </w:p>
        </w:tc>
        <w:tc>
          <w:tcPr>
            <w:tcW w:w="3247" w:type="dxa"/>
          </w:tcPr>
          <w:p w14:paraId="6CC9E603" w14:textId="77777777" w:rsidR="00923FD8" w:rsidRPr="00923FD8" w:rsidRDefault="00923FD8" w:rsidP="00923FD8">
            <w:pPr>
              <w:jc w:val="center"/>
              <w:rPr>
                <w:rFonts w:ascii="Calibri" w:eastAsia="Calibri" w:hAnsi="Calibri" w:cs="Calibri"/>
              </w:rPr>
            </w:pPr>
          </w:p>
        </w:tc>
        <w:tc>
          <w:tcPr>
            <w:tcW w:w="3248" w:type="dxa"/>
          </w:tcPr>
          <w:p w14:paraId="1889E86B" w14:textId="77777777" w:rsidR="00923FD8" w:rsidRPr="00923FD8" w:rsidRDefault="00923FD8" w:rsidP="00923FD8">
            <w:pPr>
              <w:jc w:val="center"/>
              <w:rPr>
                <w:rFonts w:ascii="Calibri" w:eastAsia="Calibri" w:hAnsi="Calibri" w:cs="Calibri"/>
              </w:rPr>
            </w:pPr>
          </w:p>
        </w:tc>
      </w:tr>
      <w:tr w:rsidR="00923FD8" w:rsidRPr="00923FD8" w14:paraId="589B21A6" w14:textId="77777777" w:rsidTr="00441700">
        <w:tc>
          <w:tcPr>
            <w:tcW w:w="3247" w:type="dxa"/>
          </w:tcPr>
          <w:p w14:paraId="67CA7BEE"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ΠΑΝΑΓΙΩΤΗΣ ΘΕΟΔΩΡΙΚΑΚΟΣ</w:t>
            </w:r>
          </w:p>
        </w:tc>
        <w:tc>
          <w:tcPr>
            <w:tcW w:w="3247" w:type="dxa"/>
          </w:tcPr>
          <w:p w14:paraId="5E0140C9"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ΝΙΚΗ ΚΕΡΑΜΕΩΣ</w:t>
            </w:r>
          </w:p>
        </w:tc>
        <w:tc>
          <w:tcPr>
            <w:tcW w:w="3248" w:type="dxa"/>
          </w:tcPr>
          <w:p w14:paraId="711F4B5D"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ΓΕΩΡΓΙΟΣ ΦΛΩΡΙΔΗΣ</w:t>
            </w:r>
          </w:p>
        </w:tc>
      </w:tr>
      <w:tr w:rsidR="00923FD8" w:rsidRPr="00923FD8" w14:paraId="648406C5" w14:textId="77777777" w:rsidTr="00441700">
        <w:tc>
          <w:tcPr>
            <w:tcW w:w="3247" w:type="dxa"/>
          </w:tcPr>
          <w:p w14:paraId="5266C8AD" w14:textId="77777777" w:rsidR="00923FD8" w:rsidRPr="00923FD8" w:rsidRDefault="00923FD8" w:rsidP="00923FD8">
            <w:pPr>
              <w:jc w:val="center"/>
              <w:rPr>
                <w:rFonts w:ascii="Calibri" w:eastAsia="Calibri" w:hAnsi="Calibri" w:cs="Calibri"/>
              </w:rPr>
            </w:pPr>
          </w:p>
        </w:tc>
        <w:tc>
          <w:tcPr>
            <w:tcW w:w="3247" w:type="dxa"/>
          </w:tcPr>
          <w:p w14:paraId="4C2D79DA" w14:textId="77777777" w:rsidR="00923FD8" w:rsidRPr="00923FD8" w:rsidRDefault="00923FD8" w:rsidP="00923FD8">
            <w:pPr>
              <w:jc w:val="center"/>
              <w:rPr>
                <w:rFonts w:ascii="Calibri" w:eastAsia="Calibri" w:hAnsi="Calibri" w:cs="Calibri"/>
              </w:rPr>
            </w:pPr>
          </w:p>
        </w:tc>
        <w:tc>
          <w:tcPr>
            <w:tcW w:w="3248" w:type="dxa"/>
          </w:tcPr>
          <w:p w14:paraId="07A87458" w14:textId="77777777" w:rsidR="00923FD8" w:rsidRPr="00923FD8" w:rsidRDefault="00923FD8" w:rsidP="00923FD8">
            <w:pPr>
              <w:jc w:val="center"/>
              <w:rPr>
                <w:rFonts w:ascii="Calibri" w:eastAsia="Calibri" w:hAnsi="Calibri" w:cs="Calibri"/>
              </w:rPr>
            </w:pPr>
          </w:p>
        </w:tc>
      </w:tr>
      <w:tr w:rsidR="00923FD8" w:rsidRPr="00923FD8" w14:paraId="6AB5AE72" w14:textId="77777777" w:rsidTr="00441700">
        <w:tc>
          <w:tcPr>
            <w:tcW w:w="3247" w:type="dxa"/>
          </w:tcPr>
          <w:p w14:paraId="38049340"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ΠΟΛΙΤΙΣΜΟΥ</w:t>
            </w:r>
          </w:p>
        </w:tc>
        <w:tc>
          <w:tcPr>
            <w:tcW w:w="3247" w:type="dxa"/>
          </w:tcPr>
          <w:p w14:paraId="2291D65E"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ΨΗΦΙΑΚΗΣ ΔΙΑΚΥΒΕΡΝΗΣΗΣ</w:t>
            </w:r>
          </w:p>
        </w:tc>
        <w:tc>
          <w:tcPr>
            <w:tcW w:w="3248" w:type="dxa"/>
          </w:tcPr>
          <w:p w14:paraId="4FD99F00"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ΕΠΙΚΡΑΤΕΙΑΣ</w:t>
            </w:r>
          </w:p>
        </w:tc>
      </w:tr>
      <w:tr w:rsidR="00923FD8" w:rsidRPr="00923FD8" w14:paraId="2DAD7710" w14:textId="77777777" w:rsidTr="00441700">
        <w:trPr>
          <w:trHeight w:val="1303"/>
        </w:trPr>
        <w:tc>
          <w:tcPr>
            <w:tcW w:w="3247" w:type="dxa"/>
          </w:tcPr>
          <w:p w14:paraId="56F23762" w14:textId="77777777" w:rsidR="00923FD8" w:rsidRPr="00923FD8" w:rsidRDefault="00923FD8" w:rsidP="00923FD8">
            <w:pPr>
              <w:jc w:val="center"/>
              <w:rPr>
                <w:rFonts w:ascii="Calibri" w:eastAsia="Calibri" w:hAnsi="Calibri" w:cs="Calibri"/>
              </w:rPr>
            </w:pPr>
          </w:p>
          <w:p w14:paraId="2543A0FD" w14:textId="77777777" w:rsidR="00923FD8" w:rsidRPr="00923FD8" w:rsidRDefault="00923FD8" w:rsidP="00923FD8">
            <w:pPr>
              <w:jc w:val="center"/>
              <w:rPr>
                <w:rFonts w:ascii="Calibri" w:eastAsia="Calibri" w:hAnsi="Calibri" w:cs="Calibri"/>
              </w:rPr>
            </w:pPr>
          </w:p>
        </w:tc>
        <w:tc>
          <w:tcPr>
            <w:tcW w:w="3247" w:type="dxa"/>
          </w:tcPr>
          <w:p w14:paraId="2E83E373" w14:textId="77777777" w:rsidR="00923FD8" w:rsidRPr="00923FD8" w:rsidRDefault="00923FD8" w:rsidP="00923FD8">
            <w:pPr>
              <w:jc w:val="center"/>
              <w:rPr>
                <w:rFonts w:ascii="Calibri" w:eastAsia="Calibri" w:hAnsi="Calibri" w:cs="Calibri"/>
              </w:rPr>
            </w:pPr>
          </w:p>
        </w:tc>
        <w:tc>
          <w:tcPr>
            <w:tcW w:w="3248" w:type="dxa"/>
          </w:tcPr>
          <w:p w14:paraId="14B98EF1" w14:textId="77777777" w:rsidR="00923FD8" w:rsidRPr="00923FD8" w:rsidRDefault="00923FD8" w:rsidP="00923FD8">
            <w:pPr>
              <w:jc w:val="center"/>
              <w:rPr>
                <w:rFonts w:ascii="Calibri" w:eastAsia="Calibri" w:hAnsi="Calibri" w:cs="Calibri"/>
              </w:rPr>
            </w:pPr>
          </w:p>
        </w:tc>
      </w:tr>
      <w:tr w:rsidR="00923FD8" w:rsidRPr="00923FD8" w14:paraId="46302540" w14:textId="77777777" w:rsidTr="00441700">
        <w:tc>
          <w:tcPr>
            <w:tcW w:w="3247" w:type="dxa"/>
          </w:tcPr>
          <w:p w14:paraId="72BD6D89"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ΣΤΥΛΙΑΝΗ ΜΕΝΔΩΝΗ</w:t>
            </w:r>
          </w:p>
        </w:tc>
        <w:tc>
          <w:tcPr>
            <w:tcW w:w="3247" w:type="dxa"/>
          </w:tcPr>
          <w:p w14:paraId="682020F8"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ΔΗΜΗΤΡΙΟΣ ΠΑΠΑΣΤΕΡΓΙΟΥ</w:t>
            </w:r>
          </w:p>
        </w:tc>
        <w:tc>
          <w:tcPr>
            <w:tcW w:w="3248" w:type="dxa"/>
          </w:tcPr>
          <w:p w14:paraId="339DC234" w14:textId="77777777" w:rsidR="00923FD8" w:rsidRPr="00923FD8" w:rsidRDefault="00923FD8" w:rsidP="00923FD8">
            <w:pPr>
              <w:suppressAutoHyphens/>
              <w:jc w:val="center"/>
              <w:rPr>
                <w:rFonts w:ascii="Calibri" w:eastAsia="Times New Roman" w:hAnsi="Calibri" w:cs="Calibri"/>
                <w:lang w:eastAsia="zh-CN"/>
              </w:rPr>
            </w:pPr>
            <w:r w:rsidRPr="00923FD8">
              <w:rPr>
                <w:rFonts w:ascii="Calibri" w:eastAsia="Times New Roman" w:hAnsi="Calibri" w:cs="Calibri"/>
                <w:lang w:eastAsia="zh-CN"/>
              </w:rPr>
              <w:t>ΧΡΗΣΤΟΣ – ΓΕΩΡΓΙΟΣ ΣΚΕΡΤΣΟΣ</w:t>
            </w:r>
          </w:p>
        </w:tc>
      </w:tr>
      <w:tr w:rsidR="00923FD8" w:rsidRPr="00923FD8" w14:paraId="4783D378" w14:textId="77777777" w:rsidTr="00441700">
        <w:tc>
          <w:tcPr>
            <w:tcW w:w="3247" w:type="dxa"/>
          </w:tcPr>
          <w:p w14:paraId="4011D25B" w14:textId="77777777" w:rsidR="00923FD8" w:rsidRPr="00923FD8" w:rsidRDefault="00923FD8" w:rsidP="00923FD8">
            <w:pPr>
              <w:jc w:val="center"/>
              <w:rPr>
                <w:rFonts w:ascii="Calibri" w:eastAsia="Calibri" w:hAnsi="Calibri" w:cs="Calibri"/>
              </w:rPr>
            </w:pPr>
          </w:p>
        </w:tc>
        <w:tc>
          <w:tcPr>
            <w:tcW w:w="3247" w:type="dxa"/>
          </w:tcPr>
          <w:p w14:paraId="06BFB931" w14:textId="77777777" w:rsidR="00923FD8" w:rsidRPr="00923FD8" w:rsidRDefault="00923FD8" w:rsidP="00923FD8">
            <w:pPr>
              <w:jc w:val="center"/>
              <w:rPr>
                <w:rFonts w:ascii="Calibri" w:eastAsia="Calibri" w:hAnsi="Calibri" w:cs="Calibri"/>
              </w:rPr>
            </w:pPr>
          </w:p>
        </w:tc>
        <w:tc>
          <w:tcPr>
            <w:tcW w:w="3248" w:type="dxa"/>
          </w:tcPr>
          <w:p w14:paraId="04302EE6" w14:textId="77777777" w:rsidR="00923FD8" w:rsidRPr="00923FD8" w:rsidRDefault="00923FD8" w:rsidP="00923FD8">
            <w:pPr>
              <w:jc w:val="center"/>
              <w:rPr>
                <w:rFonts w:ascii="Calibri" w:eastAsia="Calibri" w:hAnsi="Calibri" w:cs="Calibri"/>
              </w:rPr>
            </w:pPr>
          </w:p>
        </w:tc>
      </w:tr>
      <w:tr w:rsidR="00923FD8" w:rsidRPr="00923FD8" w14:paraId="47D0F884" w14:textId="77777777" w:rsidTr="00441700">
        <w:tc>
          <w:tcPr>
            <w:tcW w:w="3247" w:type="dxa"/>
          </w:tcPr>
          <w:p w14:paraId="275478FD" w14:textId="77777777" w:rsidR="00923FD8" w:rsidRPr="00923FD8" w:rsidRDefault="00923FD8" w:rsidP="00923FD8">
            <w:pPr>
              <w:jc w:val="center"/>
              <w:rPr>
                <w:rFonts w:ascii="Calibri" w:eastAsia="Calibri" w:hAnsi="Calibri" w:cs="Calibri"/>
              </w:rPr>
            </w:pPr>
          </w:p>
        </w:tc>
        <w:tc>
          <w:tcPr>
            <w:tcW w:w="3247" w:type="dxa"/>
          </w:tcPr>
          <w:p w14:paraId="6EB245F1" w14:textId="77777777" w:rsidR="00923FD8" w:rsidRPr="00923FD8" w:rsidRDefault="00923FD8" w:rsidP="00923FD8">
            <w:pPr>
              <w:jc w:val="center"/>
              <w:rPr>
                <w:rFonts w:ascii="Calibri" w:eastAsia="Calibri" w:hAnsi="Calibri" w:cs="Calibri"/>
              </w:rPr>
            </w:pPr>
            <w:r w:rsidRPr="00923FD8">
              <w:rPr>
                <w:rFonts w:ascii="Calibri" w:eastAsia="Calibri" w:hAnsi="Calibri" w:cs="Calibri"/>
                <w:b/>
              </w:rPr>
              <w:t>Ο ΑΝΑΠΛΗΡΩΤΗΣ ΥΠΟΥΡΓΟΣ</w:t>
            </w:r>
          </w:p>
        </w:tc>
        <w:tc>
          <w:tcPr>
            <w:tcW w:w="3248" w:type="dxa"/>
          </w:tcPr>
          <w:p w14:paraId="48322C0E" w14:textId="77777777" w:rsidR="00923FD8" w:rsidRPr="00923FD8" w:rsidRDefault="00923FD8" w:rsidP="00923FD8">
            <w:pPr>
              <w:jc w:val="center"/>
              <w:rPr>
                <w:rFonts w:ascii="Calibri" w:eastAsia="Calibri" w:hAnsi="Calibri" w:cs="Calibri"/>
              </w:rPr>
            </w:pPr>
          </w:p>
        </w:tc>
      </w:tr>
      <w:tr w:rsidR="00923FD8" w:rsidRPr="00923FD8" w14:paraId="2E94686C" w14:textId="77777777" w:rsidTr="00441700">
        <w:tc>
          <w:tcPr>
            <w:tcW w:w="3247" w:type="dxa"/>
          </w:tcPr>
          <w:p w14:paraId="36DABB37" w14:textId="77777777" w:rsidR="00923FD8" w:rsidRPr="00923FD8" w:rsidRDefault="00923FD8" w:rsidP="00923FD8">
            <w:pPr>
              <w:jc w:val="center"/>
              <w:rPr>
                <w:rFonts w:ascii="Calibri" w:eastAsia="Calibri" w:hAnsi="Calibri" w:cs="Calibri"/>
              </w:rPr>
            </w:pPr>
          </w:p>
        </w:tc>
        <w:tc>
          <w:tcPr>
            <w:tcW w:w="3247" w:type="dxa"/>
          </w:tcPr>
          <w:p w14:paraId="004D0FF7" w14:textId="77777777" w:rsidR="00923FD8" w:rsidRPr="00923FD8" w:rsidRDefault="00923FD8" w:rsidP="00923FD8">
            <w:pPr>
              <w:jc w:val="center"/>
              <w:rPr>
                <w:rFonts w:ascii="Calibri" w:eastAsia="Calibri" w:hAnsi="Calibri" w:cs="Calibri"/>
                <w:b/>
              </w:rPr>
            </w:pPr>
            <w:r w:rsidRPr="00923FD8">
              <w:rPr>
                <w:rFonts w:ascii="Calibri" w:eastAsia="Calibri" w:hAnsi="Calibri" w:cs="Calibri"/>
                <w:b/>
              </w:rPr>
              <w:t>ΕΘΝΙΚΗΣ ΟΙΚΟΝΟΜΙΑΣ ΚΑΙ ΟΙΚΟΝΟΜΙΚΩΝ</w:t>
            </w:r>
          </w:p>
        </w:tc>
        <w:tc>
          <w:tcPr>
            <w:tcW w:w="3248" w:type="dxa"/>
          </w:tcPr>
          <w:p w14:paraId="276A282F" w14:textId="77777777" w:rsidR="00923FD8" w:rsidRPr="00923FD8" w:rsidRDefault="00923FD8" w:rsidP="00923FD8">
            <w:pPr>
              <w:jc w:val="center"/>
              <w:rPr>
                <w:rFonts w:ascii="Calibri" w:eastAsia="Calibri" w:hAnsi="Calibri" w:cs="Calibri"/>
              </w:rPr>
            </w:pPr>
          </w:p>
        </w:tc>
      </w:tr>
      <w:tr w:rsidR="00923FD8" w:rsidRPr="00923FD8" w14:paraId="4D1D0C87" w14:textId="77777777" w:rsidTr="00441700">
        <w:trPr>
          <w:trHeight w:val="1334"/>
        </w:trPr>
        <w:tc>
          <w:tcPr>
            <w:tcW w:w="3247" w:type="dxa"/>
          </w:tcPr>
          <w:p w14:paraId="0E76B4D4" w14:textId="77777777" w:rsidR="00923FD8" w:rsidRPr="00923FD8" w:rsidRDefault="00923FD8" w:rsidP="00923FD8">
            <w:pPr>
              <w:jc w:val="center"/>
              <w:rPr>
                <w:rFonts w:ascii="Calibri" w:eastAsia="Calibri" w:hAnsi="Calibri" w:cs="Calibri"/>
              </w:rPr>
            </w:pPr>
          </w:p>
        </w:tc>
        <w:tc>
          <w:tcPr>
            <w:tcW w:w="3247" w:type="dxa"/>
          </w:tcPr>
          <w:p w14:paraId="7B03E854" w14:textId="77777777" w:rsidR="00923FD8" w:rsidRPr="00923FD8" w:rsidRDefault="00923FD8" w:rsidP="00923FD8">
            <w:pPr>
              <w:jc w:val="center"/>
              <w:rPr>
                <w:rFonts w:ascii="Calibri" w:eastAsia="Calibri" w:hAnsi="Calibri" w:cs="Calibri"/>
              </w:rPr>
            </w:pPr>
          </w:p>
        </w:tc>
        <w:tc>
          <w:tcPr>
            <w:tcW w:w="3248" w:type="dxa"/>
          </w:tcPr>
          <w:p w14:paraId="5FF4CB03" w14:textId="77777777" w:rsidR="00923FD8" w:rsidRPr="00923FD8" w:rsidRDefault="00923FD8" w:rsidP="00923FD8">
            <w:pPr>
              <w:jc w:val="center"/>
              <w:rPr>
                <w:rFonts w:ascii="Calibri" w:eastAsia="Calibri" w:hAnsi="Calibri" w:cs="Calibri"/>
              </w:rPr>
            </w:pPr>
          </w:p>
        </w:tc>
      </w:tr>
      <w:tr w:rsidR="00923FD8" w:rsidRPr="00923FD8" w14:paraId="3EA168D3" w14:textId="77777777" w:rsidTr="00441700">
        <w:tc>
          <w:tcPr>
            <w:tcW w:w="3247" w:type="dxa"/>
          </w:tcPr>
          <w:p w14:paraId="6E767A18" w14:textId="77777777" w:rsidR="00923FD8" w:rsidRPr="00923FD8" w:rsidRDefault="00923FD8" w:rsidP="00923FD8">
            <w:pPr>
              <w:jc w:val="center"/>
              <w:rPr>
                <w:rFonts w:ascii="Calibri" w:eastAsia="Calibri" w:hAnsi="Calibri" w:cs="Calibri"/>
                <w:b/>
              </w:rPr>
            </w:pPr>
          </w:p>
        </w:tc>
        <w:tc>
          <w:tcPr>
            <w:tcW w:w="3247" w:type="dxa"/>
          </w:tcPr>
          <w:p w14:paraId="5236EFDE" w14:textId="77777777" w:rsidR="00923FD8" w:rsidRPr="00923FD8" w:rsidRDefault="00923FD8" w:rsidP="00923FD8">
            <w:pPr>
              <w:jc w:val="center"/>
              <w:rPr>
                <w:rFonts w:ascii="Calibri" w:eastAsia="Calibri" w:hAnsi="Calibri" w:cs="Calibri"/>
              </w:rPr>
            </w:pPr>
            <w:r w:rsidRPr="00923FD8">
              <w:rPr>
                <w:rFonts w:ascii="Calibri" w:eastAsia="Calibri" w:hAnsi="Calibri" w:cs="Calibri"/>
              </w:rPr>
              <w:t>ΝΙΚΟΛΑΟΣ ΠΑΠΑΘΑΝΑΣΗΣ</w:t>
            </w:r>
          </w:p>
        </w:tc>
        <w:tc>
          <w:tcPr>
            <w:tcW w:w="3248" w:type="dxa"/>
          </w:tcPr>
          <w:p w14:paraId="209CE8F3" w14:textId="77777777" w:rsidR="00923FD8" w:rsidRPr="00923FD8" w:rsidRDefault="00923FD8" w:rsidP="00923FD8">
            <w:pPr>
              <w:jc w:val="center"/>
              <w:rPr>
                <w:rFonts w:ascii="Calibri" w:eastAsia="Calibri" w:hAnsi="Calibri" w:cs="Calibri"/>
                <w:b/>
              </w:rPr>
            </w:pPr>
          </w:p>
        </w:tc>
      </w:tr>
    </w:tbl>
    <w:p w14:paraId="6CC6DC30" w14:textId="77777777" w:rsidR="00923FD8" w:rsidRPr="00151920" w:rsidRDefault="00923FD8" w:rsidP="00151920">
      <w:pPr>
        <w:spacing w:after="0"/>
        <w:jc w:val="both"/>
        <w:rPr>
          <w:rFonts w:eastAsia="Calibri" w:cstheme="minorHAnsi"/>
          <w:lang w:eastAsia="el-GR"/>
        </w:rPr>
      </w:pPr>
    </w:p>
    <w:sectPr w:rsidR="00923FD8" w:rsidRPr="00151920" w:rsidSect="00151920">
      <w:pgSz w:w="11906" w:h="16838"/>
      <w:pgMar w:top="1276" w:right="1416"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B50FD" w14:textId="77777777" w:rsidR="006C38BD" w:rsidRDefault="006C38BD" w:rsidP="00EB1915">
      <w:pPr>
        <w:spacing w:after="0" w:line="240" w:lineRule="auto"/>
      </w:pPr>
      <w:r>
        <w:separator/>
      </w:r>
    </w:p>
  </w:endnote>
  <w:endnote w:type="continuationSeparator" w:id="0">
    <w:p w14:paraId="455ADC05" w14:textId="77777777" w:rsidR="006C38BD" w:rsidRDefault="006C38BD" w:rsidP="00EB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3462E" w14:textId="77777777" w:rsidR="006C38BD" w:rsidRDefault="006C38BD" w:rsidP="00EB1915">
      <w:pPr>
        <w:spacing w:after="0" w:line="240" w:lineRule="auto"/>
      </w:pPr>
      <w:r>
        <w:separator/>
      </w:r>
    </w:p>
  </w:footnote>
  <w:footnote w:type="continuationSeparator" w:id="0">
    <w:p w14:paraId="66371126" w14:textId="77777777" w:rsidR="006C38BD" w:rsidRDefault="006C38BD" w:rsidP="00EB1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90BC6"/>
    <w:multiLevelType w:val="hybridMultilevel"/>
    <w:tmpl w:val="D59C50FC"/>
    <w:lvl w:ilvl="0" w:tplc="D9FEA336">
      <w:start w:val="3"/>
      <w:numFmt w:val="bullet"/>
      <w:lvlText w:val="-"/>
      <w:lvlJc w:val="left"/>
      <w:pPr>
        <w:ind w:left="720" w:hanging="360"/>
      </w:pPr>
      <w:rPr>
        <w:rFonts w:ascii="Verdana" w:eastAsia="Times New Roman" w:hAnsi="Verdana" w:cs="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9356AB"/>
    <w:multiLevelType w:val="hybridMultilevel"/>
    <w:tmpl w:val="88940778"/>
    <w:lvl w:ilvl="0" w:tplc="A870731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1D42A1"/>
    <w:multiLevelType w:val="hybridMultilevel"/>
    <w:tmpl w:val="ABFA1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21A5782"/>
    <w:multiLevelType w:val="hybridMultilevel"/>
    <w:tmpl w:val="F1F60C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B041B"/>
    <w:multiLevelType w:val="hybridMultilevel"/>
    <w:tmpl w:val="F1340292"/>
    <w:lvl w:ilvl="0" w:tplc="A870731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5CD1F3B"/>
    <w:multiLevelType w:val="hybridMultilevel"/>
    <w:tmpl w:val="BA48D314"/>
    <w:lvl w:ilvl="0" w:tplc="A870731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D96466F"/>
    <w:multiLevelType w:val="hybridMultilevel"/>
    <w:tmpl w:val="75001B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AE1EFB"/>
    <w:multiLevelType w:val="hybridMultilevel"/>
    <w:tmpl w:val="08B0C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54100"/>
    <w:multiLevelType w:val="hybridMultilevel"/>
    <w:tmpl w:val="B8901B5A"/>
    <w:lvl w:ilvl="0" w:tplc="A870731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6C440E2"/>
    <w:multiLevelType w:val="hybridMultilevel"/>
    <w:tmpl w:val="BA549744"/>
    <w:lvl w:ilvl="0" w:tplc="0408001B">
      <w:start w:val="1"/>
      <w:numFmt w:val="lowerRoman"/>
      <w:lvlText w:val="%1."/>
      <w:lvlJc w:val="right"/>
      <w:pPr>
        <w:ind w:left="762" w:hanging="360"/>
      </w:pPr>
    </w:lvl>
    <w:lvl w:ilvl="1" w:tplc="04080019" w:tentative="1">
      <w:start w:val="1"/>
      <w:numFmt w:val="lowerLetter"/>
      <w:lvlText w:val="%2."/>
      <w:lvlJc w:val="left"/>
      <w:pPr>
        <w:ind w:left="1482" w:hanging="360"/>
      </w:pPr>
    </w:lvl>
    <w:lvl w:ilvl="2" w:tplc="0408001B" w:tentative="1">
      <w:start w:val="1"/>
      <w:numFmt w:val="lowerRoman"/>
      <w:lvlText w:val="%3."/>
      <w:lvlJc w:val="right"/>
      <w:pPr>
        <w:ind w:left="2202" w:hanging="180"/>
      </w:pPr>
    </w:lvl>
    <w:lvl w:ilvl="3" w:tplc="0408000F" w:tentative="1">
      <w:start w:val="1"/>
      <w:numFmt w:val="decimal"/>
      <w:lvlText w:val="%4."/>
      <w:lvlJc w:val="left"/>
      <w:pPr>
        <w:ind w:left="2922" w:hanging="360"/>
      </w:pPr>
    </w:lvl>
    <w:lvl w:ilvl="4" w:tplc="04080019" w:tentative="1">
      <w:start w:val="1"/>
      <w:numFmt w:val="lowerLetter"/>
      <w:lvlText w:val="%5."/>
      <w:lvlJc w:val="left"/>
      <w:pPr>
        <w:ind w:left="3642" w:hanging="360"/>
      </w:pPr>
    </w:lvl>
    <w:lvl w:ilvl="5" w:tplc="0408001B" w:tentative="1">
      <w:start w:val="1"/>
      <w:numFmt w:val="lowerRoman"/>
      <w:lvlText w:val="%6."/>
      <w:lvlJc w:val="right"/>
      <w:pPr>
        <w:ind w:left="4362" w:hanging="180"/>
      </w:pPr>
    </w:lvl>
    <w:lvl w:ilvl="6" w:tplc="0408000F" w:tentative="1">
      <w:start w:val="1"/>
      <w:numFmt w:val="decimal"/>
      <w:lvlText w:val="%7."/>
      <w:lvlJc w:val="left"/>
      <w:pPr>
        <w:ind w:left="5082" w:hanging="360"/>
      </w:pPr>
    </w:lvl>
    <w:lvl w:ilvl="7" w:tplc="04080019" w:tentative="1">
      <w:start w:val="1"/>
      <w:numFmt w:val="lowerLetter"/>
      <w:lvlText w:val="%8."/>
      <w:lvlJc w:val="left"/>
      <w:pPr>
        <w:ind w:left="5802" w:hanging="360"/>
      </w:pPr>
    </w:lvl>
    <w:lvl w:ilvl="8" w:tplc="0408001B" w:tentative="1">
      <w:start w:val="1"/>
      <w:numFmt w:val="lowerRoman"/>
      <w:lvlText w:val="%9."/>
      <w:lvlJc w:val="right"/>
      <w:pPr>
        <w:ind w:left="6522" w:hanging="180"/>
      </w:pPr>
    </w:lvl>
  </w:abstractNum>
  <w:abstractNum w:abstractNumId="10" w15:restartNumberingAfterBreak="0">
    <w:nsid w:val="799A50D5"/>
    <w:multiLevelType w:val="hybridMultilevel"/>
    <w:tmpl w:val="DACEC8E4"/>
    <w:lvl w:ilvl="0" w:tplc="7F4E4C22">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3"/>
  </w:num>
  <w:num w:numId="5">
    <w:abstractNumId w:val="10"/>
  </w:num>
  <w:num w:numId="6">
    <w:abstractNumId w:val="9"/>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42"/>
    <w:rsid w:val="0000729A"/>
    <w:rsid w:val="0001707E"/>
    <w:rsid w:val="00054226"/>
    <w:rsid w:val="000579B3"/>
    <w:rsid w:val="0006238D"/>
    <w:rsid w:val="0006449B"/>
    <w:rsid w:val="000677F9"/>
    <w:rsid w:val="00076F68"/>
    <w:rsid w:val="00084C20"/>
    <w:rsid w:val="00085C74"/>
    <w:rsid w:val="00092AEA"/>
    <w:rsid w:val="0009321A"/>
    <w:rsid w:val="000A2C2D"/>
    <w:rsid w:val="000B16A5"/>
    <w:rsid w:val="000C702D"/>
    <w:rsid w:val="000C7851"/>
    <w:rsid w:val="000D620B"/>
    <w:rsid w:val="000E106D"/>
    <w:rsid w:val="000E6237"/>
    <w:rsid w:val="000E639C"/>
    <w:rsid w:val="000F1794"/>
    <w:rsid w:val="000F3B3E"/>
    <w:rsid w:val="00104AE5"/>
    <w:rsid w:val="00107D66"/>
    <w:rsid w:val="00111482"/>
    <w:rsid w:val="00117116"/>
    <w:rsid w:val="00121003"/>
    <w:rsid w:val="00121F06"/>
    <w:rsid w:val="00151920"/>
    <w:rsid w:val="00151A65"/>
    <w:rsid w:val="00152F64"/>
    <w:rsid w:val="001632B0"/>
    <w:rsid w:val="00171684"/>
    <w:rsid w:val="001718DF"/>
    <w:rsid w:val="00177EDA"/>
    <w:rsid w:val="00182557"/>
    <w:rsid w:val="00183361"/>
    <w:rsid w:val="00184531"/>
    <w:rsid w:val="00185701"/>
    <w:rsid w:val="001951C0"/>
    <w:rsid w:val="001A0906"/>
    <w:rsid w:val="001A4751"/>
    <w:rsid w:val="001A4D35"/>
    <w:rsid w:val="001B52BB"/>
    <w:rsid w:val="001C1713"/>
    <w:rsid w:val="001C25D5"/>
    <w:rsid w:val="001C3EB1"/>
    <w:rsid w:val="001C5B79"/>
    <w:rsid w:val="001C7614"/>
    <w:rsid w:val="001D4A2F"/>
    <w:rsid w:val="001E3995"/>
    <w:rsid w:val="001E58D0"/>
    <w:rsid w:val="001F3981"/>
    <w:rsid w:val="002040F9"/>
    <w:rsid w:val="00204DDF"/>
    <w:rsid w:val="00205303"/>
    <w:rsid w:val="002133E5"/>
    <w:rsid w:val="00235E5D"/>
    <w:rsid w:val="00237E13"/>
    <w:rsid w:val="00247F1E"/>
    <w:rsid w:val="00265BD9"/>
    <w:rsid w:val="00266185"/>
    <w:rsid w:val="00270972"/>
    <w:rsid w:val="00273713"/>
    <w:rsid w:val="002772BC"/>
    <w:rsid w:val="002842D9"/>
    <w:rsid w:val="00287EBF"/>
    <w:rsid w:val="002928DB"/>
    <w:rsid w:val="00295E5E"/>
    <w:rsid w:val="002A227C"/>
    <w:rsid w:val="002D59A6"/>
    <w:rsid w:val="002D7B36"/>
    <w:rsid w:val="002E1EEC"/>
    <w:rsid w:val="002E5BCA"/>
    <w:rsid w:val="002F4096"/>
    <w:rsid w:val="00302929"/>
    <w:rsid w:val="00313A8D"/>
    <w:rsid w:val="003256EB"/>
    <w:rsid w:val="00325C92"/>
    <w:rsid w:val="00327A5E"/>
    <w:rsid w:val="00333EBB"/>
    <w:rsid w:val="003467CD"/>
    <w:rsid w:val="00357FB7"/>
    <w:rsid w:val="00365940"/>
    <w:rsid w:val="00366113"/>
    <w:rsid w:val="00375B2D"/>
    <w:rsid w:val="003768A5"/>
    <w:rsid w:val="00376E5C"/>
    <w:rsid w:val="003974EE"/>
    <w:rsid w:val="003A0DDF"/>
    <w:rsid w:val="003C13D9"/>
    <w:rsid w:val="003C5462"/>
    <w:rsid w:val="003C5E1A"/>
    <w:rsid w:val="003D1EF8"/>
    <w:rsid w:val="003D3ABC"/>
    <w:rsid w:val="003E57FE"/>
    <w:rsid w:val="003E614B"/>
    <w:rsid w:val="003E7DBC"/>
    <w:rsid w:val="00413B15"/>
    <w:rsid w:val="00414518"/>
    <w:rsid w:val="00423972"/>
    <w:rsid w:val="00431F67"/>
    <w:rsid w:val="00432BE8"/>
    <w:rsid w:val="00434641"/>
    <w:rsid w:val="004349C8"/>
    <w:rsid w:val="00440A70"/>
    <w:rsid w:val="00450AF1"/>
    <w:rsid w:val="00456C60"/>
    <w:rsid w:val="00461068"/>
    <w:rsid w:val="00461164"/>
    <w:rsid w:val="00463267"/>
    <w:rsid w:val="00470724"/>
    <w:rsid w:val="00473FEC"/>
    <w:rsid w:val="004771C7"/>
    <w:rsid w:val="00477DEC"/>
    <w:rsid w:val="004A487D"/>
    <w:rsid w:val="004A5020"/>
    <w:rsid w:val="004B4A65"/>
    <w:rsid w:val="004C2E51"/>
    <w:rsid w:val="004C5499"/>
    <w:rsid w:val="004C5D1D"/>
    <w:rsid w:val="004D348D"/>
    <w:rsid w:val="004E5647"/>
    <w:rsid w:val="004F56F7"/>
    <w:rsid w:val="00502E13"/>
    <w:rsid w:val="00507E10"/>
    <w:rsid w:val="00514206"/>
    <w:rsid w:val="005149D6"/>
    <w:rsid w:val="005175FF"/>
    <w:rsid w:val="005210DD"/>
    <w:rsid w:val="0052671A"/>
    <w:rsid w:val="00535C33"/>
    <w:rsid w:val="00540286"/>
    <w:rsid w:val="00547AA1"/>
    <w:rsid w:val="0055120F"/>
    <w:rsid w:val="005514C1"/>
    <w:rsid w:val="00551D22"/>
    <w:rsid w:val="00554EAA"/>
    <w:rsid w:val="00561834"/>
    <w:rsid w:val="00563B73"/>
    <w:rsid w:val="00571FCB"/>
    <w:rsid w:val="005823FB"/>
    <w:rsid w:val="00585710"/>
    <w:rsid w:val="0059132E"/>
    <w:rsid w:val="00593961"/>
    <w:rsid w:val="00593B64"/>
    <w:rsid w:val="005A0E30"/>
    <w:rsid w:val="005A2BA3"/>
    <w:rsid w:val="005B4816"/>
    <w:rsid w:val="005B5A8B"/>
    <w:rsid w:val="005C3F85"/>
    <w:rsid w:val="005C5122"/>
    <w:rsid w:val="005D23AE"/>
    <w:rsid w:val="005E27A2"/>
    <w:rsid w:val="005F14F6"/>
    <w:rsid w:val="005F3CF1"/>
    <w:rsid w:val="00615DDC"/>
    <w:rsid w:val="006421EB"/>
    <w:rsid w:val="006441D0"/>
    <w:rsid w:val="00646B44"/>
    <w:rsid w:val="00653470"/>
    <w:rsid w:val="00654D0B"/>
    <w:rsid w:val="006565DF"/>
    <w:rsid w:val="0066287C"/>
    <w:rsid w:val="00663544"/>
    <w:rsid w:val="00665F0B"/>
    <w:rsid w:val="00672380"/>
    <w:rsid w:val="00682BF4"/>
    <w:rsid w:val="00692422"/>
    <w:rsid w:val="0069449D"/>
    <w:rsid w:val="006B561A"/>
    <w:rsid w:val="006C38BD"/>
    <w:rsid w:val="006C3C91"/>
    <w:rsid w:val="006C7D53"/>
    <w:rsid w:val="006D3B3A"/>
    <w:rsid w:val="006E0C78"/>
    <w:rsid w:val="006E177A"/>
    <w:rsid w:val="006F5387"/>
    <w:rsid w:val="00726610"/>
    <w:rsid w:val="00726674"/>
    <w:rsid w:val="007364B9"/>
    <w:rsid w:val="0077738A"/>
    <w:rsid w:val="00777CAB"/>
    <w:rsid w:val="00786278"/>
    <w:rsid w:val="00790C89"/>
    <w:rsid w:val="00793BC7"/>
    <w:rsid w:val="007A1AFB"/>
    <w:rsid w:val="007A66C6"/>
    <w:rsid w:val="007B5E74"/>
    <w:rsid w:val="007C0F1A"/>
    <w:rsid w:val="007C387E"/>
    <w:rsid w:val="007F4E7D"/>
    <w:rsid w:val="007F6F51"/>
    <w:rsid w:val="008064B2"/>
    <w:rsid w:val="008074B6"/>
    <w:rsid w:val="008411BE"/>
    <w:rsid w:val="0084238A"/>
    <w:rsid w:val="00842E32"/>
    <w:rsid w:val="00861329"/>
    <w:rsid w:val="00880761"/>
    <w:rsid w:val="00893542"/>
    <w:rsid w:val="008A0383"/>
    <w:rsid w:val="008A4DC3"/>
    <w:rsid w:val="008A6A8A"/>
    <w:rsid w:val="008B0E2B"/>
    <w:rsid w:val="008C0DCB"/>
    <w:rsid w:val="008C233F"/>
    <w:rsid w:val="008C7111"/>
    <w:rsid w:val="008D48D3"/>
    <w:rsid w:val="008E4B7E"/>
    <w:rsid w:val="008F5B8D"/>
    <w:rsid w:val="00902C72"/>
    <w:rsid w:val="0091547F"/>
    <w:rsid w:val="009231CC"/>
    <w:rsid w:val="00923FD8"/>
    <w:rsid w:val="00925CDE"/>
    <w:rsid w:val="00945A90"/>
    <w:rsid w:val="00950F72"/>
    <w:rsid w:val="00952542"/>
    <w:rsid w:val="009544F2"/>
    <w:rsid w:val="00957323"/>
    <w:rsid w:val="009657A8"/>
    <w:rsid w:val="0097299B"/>
    <w:rsid w:val="00974380"/>
    <w:rsid w:val="00976A3C"/>
    <w:rsid w:val="00980C58"/>
    <w:rsid w:val="00981709"/>
    <w:rsid w:val="009B1BB4"/>
    <w:rsid w:val="009C7E8A"/>
    <w:rsid w:val="009D1C7C"/>
    <w:rsid w:val="009D59BB"/>
    <w:rsid w:val="009E7632"/>
    <w:rsid w:val="009F01E0"/>
    <w:rsid w:val="009F3769"/>
    <w:rsid w:val="009F45C7"/>
    <w:rsid w:val="009F7FBB"/>
    <w:rsid w:val="00A031CB"/>
    <w:rsid w:val="00A10CE8"/>
    <w:rsid w:val="00A1466C"/>
    <w:rsid w:val="00A32516"/>
    <w:rsid w:val="00A3396F"/>
    <w:rsid w:val="00A42DFE"/>
    <w:rsid w:val="00A46176"/>
    <w:rsid w:val="00A46F8B"/>
    <w:rsid w:val="00A54293"/>
    <w:rsid w:val="00A56375"/>
    <w:rsid w:val="00A575FD"/>
    <w:rsid w:val="00A57CA3"/>
    <w:rsid w:val="00A642E3"/>
    <w:rsid w:val="00A73453"/>
    <w:rsid w:val="00A77B49"/>
    <w:rsid w:val="00A80ACB"/>
    <w:rsid w:val="00A820D7"/>
    <w:rsid w:val="00A85C51"/>
    <w:rsid w:val="00AA005D"/>
    <w:rsid w:val="00AA1E63"/>
    <w:rsid w:val="00AA3F79"/>
    <w:rsid w:val="00AB0C3B"/>
    <w:rsid w:val="00AB5187"/>
    <w:rsid w:val="00AC453A"/>
    <w:rsid w:val="00AC6487"/>
    <w:rsid w:val="00AD232E"/>
    <w:rsid w:val="00AD3382"/>
    <w:rsid w:val="00AD49A3"/>
    <w:rsid w:val="00AE0FDD"/>
    <w:rsid w:val="00AE313D"/>
    <w:rsid w:val="00AE52D7"/>
    <w:rsid w:val="00AF4622"/>
    <w:rsid w:val="00B12B79"/>
    <w:rsid w:val="00B21A75"/>
    <w:rsid w:val="00B2257E"/>
    <w:rsid w:val="00B36699"/>
    <w:rsid w:val="00B41827"/>
    <w:rsid w:val="00B53D9B"/>
    <w:rsid w:val="00B5796B"/>
    <w:rsid w:val="00B61400"/>
    <w:rsid w:val="00B70476"/>
    <w:rsid w:val="00B739B7"/>
    <w:rsid w:val="00B762E8"/>
    <w:rsid w:val="00B84EBB"/>
    <w:rsid w:val="00B8614F"/>
    <w:rsid w:val="00B908C0"/>
    <w:rsid w:val="00BB32DC"/>
    <w:rsid w:val="00BC3B63"/>
    <w:rsid w:val="00BD7A45"/>
    <w:rsid w:val="00BF5621"/>
    <w:rsid w:val="00BF5817"/>
    <w:rsid w:val="00C0273F"/>
    <w:rsid w:val="00C12B74"/>
    <w:rsid w:val="00C13814"/>
    <w:rsid w:val="00C1456F"/>
    <w:rsid w:val="00C15356"/>
    <w:rsid w:val="00C15600"/>
    <w:rsid w:val="00C15685"/>
    <w:rsid w:val="00C16640"/>
    <w:rsid w:val="00C207C6"/>
    <w:rsid w:val="00C32351"/>
    <w:rsid w:val="00C422CF"/>
    <w:rsid w:val="00C46DA0"/>
    <w:rsid w:val="00C5095D"/>
    <w:rsid w:val="00C6188C"/>
    <w:rsid w:val="00C62252"/>
    <w:rsid w:val="00C634D4"/>
    <w:rsid w:val="00C63540"/>
    <w:rsid w:val="00C643D1"/>
    <w:rsid w:val="00C67A08"/>
    <w:rsid w:val="00C75038"/>
    <w:rsid w:val="00CA60BC"/>
    <w:rsid w:val="00CC43D3"/>
    <w:rsid w:val="00CE5294"/>
    <w:rsid w:val="00CF7526"/>
    <w:rsid w:val="00D07824"/>
    <w:rsid w:val="00D1546E"/>
    <w:rsid w:val="00D15F6B"/>
    <w:rsid w:val="00D206C5"/>
    <w:rsid w:val="00D21043"/>
    <w:rsid w:val="00D328CD"/>
    <w:rsid w:val="00D33791"/>
    <w:rsid w:val="00D3664E"/>
    <w:rsid w:val="00D37DB3"/>
    <w:rsid w:val="00D43C3B"/>
    <w:rsid w:val="00D475B9"/>
    <w:rsid w:val="00D52519"/>
    <w:rsid w:val="00D62B1F"/>
    <w:rsid w:val="00D66F3D"/>
    <w:rsid w:val="00D80D2A"/>
    <w:rsid w:val="00D865DE"/>
    <w:rsid w:val="00D871F2"/>
    <w:rsid w:val="00D976F6"/>
    <w:rsid w:val="00DA2A57"/>
    <w:rsid w:val="00DA46F4"/>
    <w:rsid w:val="00DB03A3"/>
    <w:rsid w:val="00DB0E6B"/>
    <w:rsid w:val="00DB22F4"/>
    <w:rsid w:val="00DC4679"/>
    <w:rsid w:val="00DC4D5C"/>
    <w:rsid w:val="00DC5CBA"/>
    <w:rsid w:val="00DC74F6"/>
    <w:rsid w:val="00DE10A6"/>
    <w:rsid w:val="00DE61BE"/>
    <w:rsid w:val="00DF4111"/>
    <w:rsid w:val="00E00AD0"/>
    <w:rsid w:val="00E06763"/>
    <w:rsid w:val="00E136CC"/>
    <w:rsid w:val="00E13B8B"/>
    <w:rsid w:val="00E141BB"/>
    <w:rsid w:val="00E23FE0"/>
    <w:rsid w:val="00E240CE"/>
    <w:rsid w:val="00E254FB"/>
    <w:rsid w:val="00E4345F"/>
    <w:rsid w:val="00E457CC"/>
    <w:rsid w:val="00E5049F"/>
    <w:rsid w:val="00E551B7"/>
    <w:rsid w:val="00E65540"/>
    <w:rsid w:val="00E65647"/>
    <w:rsid w:val="00E674FF"/>
    <w:rsid w:val="00E826C2"/>
    <w:rsid w:val="00EB1915"/>
    <w:rsid w:val="00ED718B"/>
    <w:rsid w:val="00EE1600"/>
    <w:rsid w:val="00EE3FB0"/>
    <w:rsid w:val="00EF69DD"/>
    <w:rsid w:val="00F06D07"/>
    <w:rsid w:val="00F44680"/>
    <w:rsid w:val="00F458F5"/>
    <w:rsid w:val="00F570E4"/>
    <w:rsid w:val="00F70559"/>
    <w:rsid w:val="00F804C5"/>
    <w:rsid w:val="00F92690"/>
    <w:rsid w:val="00F9285D"/>
    <w:rsid w:val="00F934CC"/>
    <w:rsid w:val="00F94A12"/>
    <w:rsid w:val="00FC0943"/>
    <w:rsid w:val="00FD0E2C"/>
    <w:rsid w:val="00FD4208"/>
    <w:rsid w:val="00FE5520"/>
    <w:rsid w:val="00FF4E67"/>
    <w:rsid w:val="00FF5058"/>
    <w:rsid w:val="015BAB57"/>
    <w:rsid w:val="017CDCC5"/>
    <w:rsid w:val="022EA318"/>
    <w:rsid w:val="02739E7B"/>
    <w:rsid w:val="02CE3AC7"/>
    <w:rsid w:val="0311371F"/>
    <w:rsid w:val="035B50F3"/>
    <w:rsid w:val="0540D147"/>
    <w:rsid w:val="0609090B"/>
    <w:rsid w:val="06C98458"/>
    <w:rsid w:val="07B385C9"/>
    <w:rsid w:val="080AE26A"/>
    <w:rsid w:val="08795F28"/>
    <w:rsid w:val="094D46FF"/>
    <w:rsid w:val="097C3EC4"/>
    <w:rsid w:val="0998EB03"/>
    <w:rsid w:val="0AEA313C"/>
    <w:rsid w:val="0C058E69"/>
    <w:rsid w:val="0C770D2F"/>
    <w:rsid w:val="0C7E39BE"/>
    <w:rsid w:val="0D3F3E83"/>
    <w:rsid w:val="0D832572"/>
    <w:rsid w:val="12FCB624"/>
    <w:rsid w:val="133701E8"/>
    <w:rsid w:val="15253CE9"/>
    <w:rsid w:val="165F0E9C"/>
    <w:rsid w:val="17C6CFF0"/>
    <w:rsid w:val="17FECCD4"/>
    <w:rsid w:val="1854AA61"/>
    <w:rsid w:val="186ABB6E"/>
    <w:rsid w:val="18B1CD3F"/>
    <w:rsid w:val="191CA762"/>
    <w:rsid w:val="1AFD1A63"/>
    <w:rsid w:val="1BABCD08"/>
    <w:rsid w:val="1CA72B92"/>
    <w:rsid w:val="1D4ABB12"/>
    <w:rsid w:val="1F084AAD"/>
    <w:rsid w:val="20CB707C"/>
    <w:rsid w:val="2181D1FB"/>
    <w:rsid w:val="23F64E87"/>
    <w:rsid w:val="2455D458"/>
    <w:rsid w:val="250BC2D5"/>
    <w:rsid w:val="25180465"/>
    <w:rsid w:val="25A1CE38"/>
    <w:rsid w:val="262FA8EE"/>
    <w:rsid w:val="272C5FDB"/>
    <w:rsid w:val="2991F35A"/>
    <w:rsid w:val="2A6C1AC4"/>
    <w:rsid w:val="2A793FE7"/>
    <w:rsid w:val="2AAED6C9"/>
    <w:rsid w:val="2AED4041"/>
    <w:rsid w:val="2C08EA04"/>
    <w:rsid w:val="2E24230F"/>
    <w:rsid w:val="2E6FD2D6"/>
    <w:rsid w:val="2E83695C"/>
    <w:rsid w:val="32AB36BB"/>
    <w:rsid w:val="335CC3D2"/>
    <w:rsid w:val="339F42B4"/>
    <w:rsid w:val="344F9BF6"/>
    <w:rsid w:val="345E19C7"/>
    <w:rsid w:val="356F490E"/>
    <w:rsid w:val="35C06F9E"/>
    <w:rsid w:val="3604F7D1"/>
    <w:rsid w:val="3655ADB5"/>
    <w:rsid w:val="371B50B8"/>
    <w:rsid w:val="39199DD4"/>
    <w:rsid w:val="39DDCD6D"/>
    <w:rsid w:val="3AE51FC8"/>
    <w:rsid w:val="3D95D2D8"/>
    <w:rsid w:val="3E23ABA6"/>
    <w:rsid w:val="3E9DB79D"/>
    <w:rsid w:val="42867182"/>
    <w:rsid w:val="44127F3F"/>
    <w:rsid w:val="457190CA"/>
    <w:rsid w:val="46B867BB"/>
    <w:rsid w:val="47C61AEE"/>
    <w:rsid w:val="484B624D"/>
    <w:rsid w:val="48739C42"/>
    <w:rsid w:val="48C6E666"/>
    <w:rsid w:val="49210789"/>
    <w:rsid w:val="4937B8DF"/>
    <w:rsid w:val="4AD0585F"/>
    <w:rsid w:val="4CE134DB"/>
    <w:rsid w:val="4E631EC6"/>
    <w:rsid w:val="513AD5A7"/>
    <w:rsid w:val="543044E7"/>
    <w:rsid w:val="552F610B"/>
    <w:rsid w:val="556B3F0D"/>
    <w:rsid w:val="56C3240B"/>
    <w:rsid w:val="5758D2C7"/>
    <w:rsid w:val="5770A22B"/>
    <w:rsid w:val="5888CF6F"/>
    <w:rsid w:val="5891A072"/>
    <w:rsid w:val="59F83CF1"/>
    <w:rsid w:val="5AC3768C"/>
    <w:rsid w:val="5B605A13"/>
    <w:rsid w:val="5CCBB0B0"/>
    <w:rsid w:val="5D360BDD"/>
    <w:rsid w:val="5E7F5769"/>
    <w:rsid w:val="5E8520B2"/>
    <w:rsid w:val="602BC64D"/>
    <w:rsid w:val="60736D13"/>
    <w:rsid w:val="63C445D3"/>
    <w:rsid w:val="642D3899"/>
    <w:rsid w:val="644066DB"/>
    <w:rsid w:val="661BB292"/>
    <w:rsid w:val="66E1F7AA"/>
    <w:rsid w:val="67027682"/>
    <w:rsid w:val="6833CD25"/>
    <w:rsid w:val="6875ECA3"/>
    <w:rsid w:val="6983CE2E"/>
    <w:rsid w:val="6C0F90AE"/>
    <w:rsid w:val="6CD70DA7"/>
    <w:rsid w:val="6E9E66C3"/>
    <w:rsid w:val="6EF201A1"/>
    <w:rsid w:val="6F067EF3"/>
    <w:rsid w:val="7053EEB3"/>
    <w:rsid w:val="7282D752"/>
    <w:rsid w:val="746C38EC"/>
    <w:rsid w:val="74CE4DD2"/>
    <w:rsid w:val="76E2E53E"/>
    <w:rsid w:val="76EB2516"/>
    <w:rsid w:val="7828C04D"/>
    <w:rsid w:val="79A07B49"/>
    <w:rsid w:val="79ADE5BE"/>
    <w:rsid w:val="7AA44B38"/>
    <w:rsid w:val="7B8E24A8"/>
    <w:rsid w:val="7C4209C7"/>
    <w:rsid w:val="7DD22EB9"/>
    <w:rsid w:val="7E871EAE"/>
    <w:rsid w:val="7ED57840"/>
    <w:rsid w:val="7F46D2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4001"/>
  <w15:docId w15:val="{C3AE0552-898E-4852-AFDF-26D68A2F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BE8"/>
    <w:pPr>
      <w:ind w:left="720"/>
      <w:contextualSpacing/>
    </w:pPr>
  </w:style>
  <w:style w:type="paragraph" w:styleId="BalloonText">
    <w:name w:val="Balloon Text"/>
    <w:basedOn w:val="Normal"/>
    <w:link w:val="BalloonTextChar"/>
    <w:uiPriority w:val="99"/>
    <w:semiHidden/>
    <w:unhideWhenUsed/>
    <w:rsid w:val="00585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10"/>
    <w:rPr>
      <w:rFonts w:ascii="Tahoma" w:hAnsi="Tahoma" w:cs="Tahoma"/>
      <w:sz w:val="16"/>
      <w:szCs w:val="16"/>
    </w:rPr>
  </w:style>
  <w:style w:type="paragraph" w:styleId="Header">
    <w:name w:val="header"/>
    <w:basedOn w:val="Normal"/>
    <w:link w:val="HeaderChar"/>
    <w:uiPriority w:val="99"/>
    <w:unhideWhenUsed/>
    <w:rsid w:val="00EB19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1915"/>
  </w:style>
  <w:style w:type="paragraph" w:styleId="Footer">
    <w:name w:val="footer"/>
    <w:basedOn w:val="Normal"/>
    <w:link w:val="FooterChar"/>
    <w:uiPriority w:val="99"/>
    <w:unhideWhenUsed/>
    <w:rsid w:val="00EB19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1915"/>
  </w:style>
  <w:style w:type="character" w:styleId="CommentReference">
    <w:name w:val="annotation reference"/>
    <w:basedOn w:val="DefaultParagraphFont"/>
    <w:uiPriority w:val="99"/>
    <w:semiHidden/>
    <w:unhideWhenUsed/>
    <w:rsid w:val="00C422CF"/>
    <w:rPr>
      <w:sz w:val="16"/>
      <w:szCs w:val="16"/>
    </w:rPr>
  </w:style>
  <w:style w:type="paragraph" w:styleId="CommentText">
    <w:name w:val="annotation text"/>
    <w:basedOn w:val="Normal"/>
    <w:link w:val="CommentTextChar"/>
    <w:uiPriority w:val="99"/>
    <w:semiHidden/>
    <w:unhideWhenUsed/>
    <w:rsid w:val="00C422CF"/>
    <w:pPr>
      <w:spacing w:line="240" w:lineRule="auto"/>
    </w:pPr>
    <w:rPr>
      <w:sz w:val="20"/>
      <w:szCs w:val="20"/>
    </w:rPr>
  </w:style>
  <w:style w:type="character" w:customStyle="1" w:styleId="CommentTextChar">
    <w:name w:val="Comment Text Char"/>
    <w:basedOn w:val="DefaultParagraphFont"/>
    <w:link w:val="CommentText"/>
    <w:uiPriority w:val="99"/>
    <w:semiHidden/>
    <w:rsid w:val="00C422CF"/>
    <w:rPr>
      <w:sz w:val="20"/>
      <w:szCs w:val="20"/>
    </w:rPr>
  </w:style>
  <w:style w:type="paragraph" w:styleId="CommentSubject">
    <w:name w:val="annotation subject"/>
    <w:basedOn w:val="CommentText"/>
    <w:next w:val="CommentText"/>
    <w:link w:val="CommentSubjectChar"/>
    <w:uiPriority w:val="99"/>
    <w:semiHidden/>
    <w:unhideWhenUsed/>
    <w:rsid w:val="00C422CF"/>
    <w:rPr>
      <w:b/>
      <w:bCs/>
    </w:rPr>
  </w:style>
  <w:style w:type="character" w:customStyle="1" w:styleId="CommentSubjectChar">
    <w:name w:val="Comment Subject Char"/>
    <w:basedOn w:val="CommentTextChar"/>
    <w:link w:val="CommentSubject"/>
    <w:uiPriority w:val="99"/>
    <w:semiHidden/>
    <w:rsid w:val="00C422CF"/>
    <w:rPr>
      <w:b/>
      <w:bCs/>
      <w:sz w:val="20"/>
      <w:szCs w:val="20"/>
    </w:rPr>
  </w:style>
  <w:style w:type="paragraph" w:styleId="Revision">
    <w:name w:val="Revision"/>
    <w:hidden/>
    <w:uiPriority w:val="99"/>
    <w:semiHidden/>
    <w:rsid w:val="00540286"/>
    <w:pPr>
      <w:spacing w:after="0" w:line="240" w:lineRule="auto"/>
    </w:pPr>
  </w:style>
  <w:style w:type="paragraph" w:styleId="HTMLPreformatted">
    <w:name w:val="HTML Preformatted"/>
    <w:basedOn w:val="Normal"/>
    <w:link w:val="HTMLPreformattedChar"/>
    <w:uiPriority w:val="99"/>
    <w:semiHidden/>
    <w:unhideWhenUsed/>
    <w:rsid w:val="0089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893542"/>
    <w:rPr>
      <w:rFonts w:ascii="Courier New" w:eastAsia="Times New Roman" w:hAnsi="Courier New" w:cs="Courier New"/>
      <w:sz w:val="20"/>
      <w:szCs w:val="20"/>
      <w:lang w:eastAsia="el-GR"/>
    </w:rPr>
  </w:style>
  <w:style w:type="paragraph" w:customStyle="1" w:styleId="western">
    <w:name w:val="western"/>
    <w:basedOn w:val="Normal"/>
    <w:rsid w:val="002A227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2A227C"/>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Πλέγμα πίνακα1"/>
    <w:basedOn w:val="TableNormal"/>
    <w:next w:val="TableGrid"/>
    <w:uiPriority w:val="39"/>
    <w:rsid w:val="0092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88143">
      <w:bodyDiv w:val="1"/>
      <w:marLeft w:val="0"/>
      <w:marRight w:val="0"/>
      <w:marTop w:val="0"/>
      <w:marBottom w:val="0"/>
      <w:divBdr>
        <w:top w:val="none" w:sz="0" w:space="0" w:color="auto"/>
        <w:left w:val="none" w:sz="0" w:space="0" w:color="auto"/>
        <w:bottom w:val="none" w:sz="0" w:space="0" w:color="auto"/>
        <w:right w:val="none" w:sz="0" w:space="0" w:color="auto"/>
      </w:divBdr>
    </w:div>
    <w:div w:id="643661677">
      <w:bodyDiv w:val="1"/>
      <w:marLeft w:val="0"/>
      <w:marRight w:val="0"/>
      <w:marTop w:val="0"/>
      <w:marBottom w:val="0"/>
      <w:divBdr>
        <w:top w:val="none" w:sz="0" w:space="0" w:color="auto"/>
        <w:left w:val="none" w:sz="0" w:space="0" w:color="auto"/>
        <w:bottom w:val="none" w:sz="0" w:space="0" w:color="auto"/>
        <w:right w:val="none" w:sz="0" w:space="0" w:color="auto"/>
      </w:divBdr>
    </w:div>
    <w:div w:id="864290447">
      <w:bodyDiv w:val="1"/>
      <w:marLeft w:val="0"/>
      <w:marRight w:val="0"/>
      <w:marTop w:val="0"/>
      <w:marBottom w:val="0"/>
      <w:divBdr>
        <w:top w:val="none" w:sz="0" w:space="0" w:color="auto"/>
        <w:left w:val="none" w:sz="0" w:space="0" w:color="auto"/>
        <w:bottom w:val="none" w:sz="0" w:space="0" w:color="auto"/>
        <w:right w:val="none" w:sz="0" w:space="0" w:color="auto"/>
      </w:divBdr>
    </w:div>
    <w:div w:id="1130631806">
      <w:bodyDiv w:val="1"/>
      <w:marLeft w:val="0"/>
      <w:marRight w:val="0"/>
      <w:marTop w:val="0"/>
      <w:marBottom w:val="0"/>
      <w:divBdr>
        <w:top w:val="none" w:sz="0" w:space="0" w:color="auto"/>
        <w:left w:val="none" w:sz="0" w:space="0" w:color="auto"/>
        <w:bottom w:val="none" w:sz="0" w:space="0" w:color="auto"/>
        <w:right w:val="none" w:sz="0" w:space="0" w:color="auto"/>
      </w:divBdr>
    </w:div>
    <w:div w:id="1392386150">
      <w:bodyDiv w:val="1"/>
      <w:marLeft w:val="0"/>
      <w:marRight w:val="0"/>
      <w:marTop w:val="0"/>
      <w:marBottom w:val="0"/>
      <w:divBdr>
        <w:top w:val="none" w:sz="0" w:space="0" w:color="auto"/>
        <w:left w:val="none" w:sz="0" w:space="0" w:color="auto"/>
        <w:bottom w:val="none" w:sz="0" w:space="0" w:color="auto"/>
        <w:right w:val="none" w:sz="0" w:space="0" w:color="auto"/>
      </w:divBdr>
    </w:div>
    <w:div w:id="1429351082">
      <w:bodyDiv w:val="1"/>
      <w:marLeft w:val="0"/>
      <w:marRight w:val="0"/>
      <w:marTop w:val="0"/>
      <w:marBottom w:val="0"/>
      <w:divBdr>
        <w:top w:val="none" w:sz="0" w:space="0" w:color="auto"/>
        <w:left w:val="none" w:sz="0" w:space="0" w:color="auto"/>
        <w:bottom w:val="none" w:sz="0" w:space="0" w:color="auto"/>
        <w:right w:val="none" w:sz="0" w:space="0" w:color="auto"/>
      </w:divBdr>
    </w:div>
    <w:div w:id="1487552785">
      <w:bodyDiv w:val="1"/>
      <w:marLeft w:val="0"/>
      <w:marRight w:val="0"/>
      <w:marTop w:val="0"/>
      <w:marBottom w:val="0"/>
      <w:divBdr>
        <w:top w:val="none" w:sz="0" w:space="0" w:color="auto"/>
        <w:left w:val="none" w:sz="0" w:space="0" w:color="auto"/>
        <w:bottom w:val="none" w:sz="0" w:space="0" w:color="auto"/>
        <w:right w:val="none" w:sz="0" w:space="0" w:color="auto"/>
      </w:divBdr>
    </w:div>
    <w:div w:id="20461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2ED6-A473-4506-ABC0-E0585BB5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labrinos</dc:creator>
  <cp:lastModifiedBy>Μελίνα Ζιάγκου</cp:lastModifiedBy>
  <cp:revision>2</cp:revision>
  <cp:lastPrinted>2025-05-20T09:53:00Z</cp:lastPrinted>
  <dcterms:created xsi:type="dcterms:W3CDTF">2025-07-10T10:39:00Z</dcterms:created>
  <dcterms:modified xsi:type="dcterms:W3CDTF">2025-07-10T10:39:00Z</dcterms:modified>
</cp:coreProperties>
</file>