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95"/>
        <w:tblW w:w="891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6200"/>
        <w:gridCol w:w="1359"/>
        <w:gridCol w:w="1359"/>
      </w:tblGrid>
      <w:tr w:rsidR="006974A8" w:rsidRPr="006974A8" w14:paraId="526313D4" w14:textId="77777777" w:rsidTr="002814CF">
        <w:trPr>
          <w:trHeight w:val="320"/>
        </w:trPr>
        <w:tc>
          <w:tcPr>
            <w:tcW w:w="6200" w:type="dxa"/>
            <w:tcBorders>
              <w:bottom w:val="single" w:sz="4" w:space="0" w:color="00B0F0"/>
            </w:tcBorders>
            <w:shd w:val="clear" w:color="auto" w:fill="002060"/>
            <w:noWrap/>
            <w:vAlign w:val="bottom"/>
            <w:hideMark/>
          </w:tcPr>
          <w:p w14:paraId="7A505A15" w14:textId="77777777" w:rsidR="006974A8" w:rsidRPr="006974A8" w:rsidRDefault="006974A8" w:rsidP="002814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bookmarkStart w:id="0" w:name="_Hlk218256235"/>
            <w:bookmarkStart w:id="1" w:name="_GoBack"/>
            <w:bookmarkEnd w:id="1"/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779CC4CC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2024</w:t>
            </w:r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5436B8F9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2025</w:t>
            </w:r>
          </w:p>
        </w:tc>
      </w:tr>
      <w:tr w:rsidR="006974A8" w:rsidRPr="006974A8" w14:paraId="579A9F17" w14:textId="77777777" w:rsidTr="002814CF">
        <w:trPr>
          <w:trHeight w:val="280"/>
        </w:trPr>
        <w:tc>
          <w:tcPr>
            <w:tcW w:w="6200" w:type="dxa"/>
            <w:tcBorders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3DFC9105" w14:textId="77777777" w:rsidR="006974A8" w:rsidRPr="006974A8" w:rsidRDefault="00C24B80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ΕΓΤΕ</w:t>
            </w:r>
            <w:r w:rsidR="0042712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/ </w:t>
            </w:r>
            <w:r w:rsidR="0042712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E</w:t>
            </w:r>
            <w:r w:rsidR="0042712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ΓΤΑΑ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(</w:t>
            </w:r>
            <w:r w:rsidR="006974A8"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Πυλώνας Ι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, ΙΙ)</w:t>
            </w:r>
          </w:p>
        </w:tc>
        <w:tc>
          <w:tcPr>
            <w:tcW w:w="1359" w:type="dxa"/>
            <w:noWrap/>
            <w:vAlign w:val="bottom"/>
            <w:hideMark/>
          </w:tcPr>
          <w:p w14:paraId="1D5440F7" w14:textId="77777777" w:rsidR="006974A8" w:rsidRPr="006974A8" w:rsidRDefault="00427121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2.784.562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444CF688" w14:textId="77777777" w:rsidR="006974A8" w:rsidRPr="006974A8" w:rsidRDefault="00427121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3.091.512</w:t>
            </w:r>
          </w:p>
        </w:tc>
      </w:tr>
      <w:tr w:rsidR="006974A8" w:rsidRPr="006974A8" w14:paraId="0D956311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61D60D78" w14:textId="44E50CA5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Πληρωμές ήσσονος σημασίας</w:t>
            </w:r>
            <w:r w:rsidR="00783187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και λοιπές πληρωμές ΕΛΕΓΕΠ</w:t>
            </w:r>
          </w:p>
        </w:tc>
        <w:tc>
          <w:tcPr>
            <w:tcW w:w="1359" w:type="dxa"/>
            <w:noWrap/>
            <w:vAlign w:val="bottom"/>
            <w:hideMark/>
          </w:tcPr>
          <w:p w14:paraId="6BCFA5CF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17.713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1818E1A6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109.698</w:t>
            </w:r>
          </w:p>
        </w:tc>
      </w:tr>
      <w:tr w:rsidR="006974A8" w:rsidRPr="006974A8" w14:paraId="59090003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37063AC6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Προγράμματα αλιείας</w:t>
            </w:r>
          </w:p>
        </w:tc>
        <w:tc>
          <w:tcPr>
            <w:tcW w:w="1359" w:type="dxa"/>
            <w:shd w:val="clear" w:color="auto" w:fill="FFFFFF" w:themeFill="background1"/>
            <w:noWrap/>
            <w:vAlign w:val="bottom"/>
            <w:hideMark/>
          </w:tcPr>
          <w:p w14:paraId="05098F3B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13.186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5AC880FB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74.719</w:t>
            </w:r>
          </w:p>
        </w:tc>
      </w:tr>
      <w:tr w:rsidR="006974A8" w:rsidRPr="006974A8" w14:paraId="7B2E58DF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49526355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Αποζημιώσεις για </w:t>
            </w: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θανατωθέντα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ζώα και απώλεια εισοδήματος</w:t>
            </w:r>
          </w:p>
        </w:tc>
        <w:tc>
          <w:tcPr>
            <w:tcW w:w="1359" w:type="dxa"/>
            <w:noWrap/>
            <w:vAlign w:val="bottom"/>
            <w:hideMark/>
          </w:tcPr>
          <w:p w14:paraId="78B99176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13.300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020E570E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97.632</w:t>
            </w:r>
          </w:p>
        </w:tc>
      </w:tr>
      <w:tr w:rsidR="006974A8" w:rsidRPr="006974A8" w14:paraId="30744D43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3C146A56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Πληρωμή αποζημιώσεων ΕΛΓΑ</w:t>
            </w:r>
          </w:p>
        </w:tc>
        <w:tc>
          <w:tcPr>
            <w:tcW w:w="1359" w:type="dxa"/>
            <w:noWrap/>
            <w:vAlign w:val="bottom"/>
            <w:hideMark/>
          </w:tcPr>
          <w:p w14:paraId="76403171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197.053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17B5B1D7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260.607</w:t>
            </w:r>
          </w:p>
        </w:tc>
      </w:tr>
      <w:tr w:rsidR="006974A8" w:rsidRPr="006974A8" w14:paraId="6C85850E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78C4DA1B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Ενισχύσεις </w:t>
            </w: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Daniel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Elias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, πυρκαγιές μέσω ΕΛΓΑ</w:t>
            </w:r>
          </w:p>
        </w:tc>
        <w:tc>
          <w:tcPr>
            <w:tcW w:w="1359" w:type="dxa"/>
            <w:noWrap/>
            <w:vAlign w:val="bottom"/>
            <w:hideMark/>
          </w:tcPr>
          <w:p w14:paraId="32F024B0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144.862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41BC368D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52.464</w:t>
            </w:r>
          </w:p>
        </w:tc>
      </w:tr>
      <w:tr w:rsidR="006974A8" w:rsidRPr="006974A8" w14:paraId="28817F22" w14:textId="77777777" w:rsidTr="002814CF">
        <w:trPr>
          <w:trHeight w:val="32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594E4F03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Κρατικές οικονομικές ενισχύσεις ΕΛΓΑ</w:t>
            </w:r>
          </w:p>
        </w:tc>
        <w:tc>
          <w:tcPr>
            <w:tcW w:w="1359" w:type="dxa"/>
            <w:noWrap/>
            <w:vAlign w:val="bottom"/>
            <w:hideMark/>
          </w:tcPr>
          <w:p w14:paraId="2C3A19B5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23.125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4BF8F2A5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23.662</w:t>
            </w:r>
          </w:p>
        </w:tc>
      </w:tr>
      <w:tr w:rsidR="006974A8" w:rsidRPr="006974A8" w14:paraId="1FF69BA0" w14:textId="77777777" w:rsidTr="002814CF">
        <w:trPr>
          <w:trHeight w:val="280"/>
        </w:trPr>
        <w:tc>
          <w:tcPr>
            <w:tcW w:w="62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0AF6F101" w14:textId="38B48C19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Πληρωμές </w:t>
            </w:r>
            <w:r w:rsid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Dani</w:t>
            </w:r>
            <w:r w:rsidR="002E3EA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el</w:t>
            </w:r>
            <w:r w:rsidR="00A23692" w:rsidRP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, </w:t>
            </w:r>
            <w:r w:rsid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l-GR"/>
                <w14:ligatures w14:val="none"/>
              </w:rPr>
              <w:t>Elias</w:t>
            </w:r>
            <w:r w:rsidR="00A23692" w:rsidRP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, </w:t>
            </w:r>
            <w:r w:rsidR="00A2369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πυρκαγιές </w:t>
            </w: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από το Υπουργείο Κλιματικής Κρίσης</w:t>
            </w:r>
          </w:p>
        </w:tc>
        <w:tc>
          <w:tcPr>
            <w:tcW w:w="1359" w:type="dxa"/>
            <w:noWrap/>
            <w:vAlign w:val="bottom"/>
            <w:hideMark/>
          </w:tcPr>
          <w:p w14:paraId="3E8868F0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112.522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122E9429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31.250</w:t>
            </w:r>
          </w:p>
        </w:tc>
      </w:tr>
      <w:tr w:rsidR="006974A8" w:rsidRPr="006974A8" w14:paraId="52ABC791" w14:textId="77777777" w:rsidTr="002814CF">
        <w:trPr>
          <w:trHeight w:val="460"/>
        </w:trPr>
        <w:tc>
          <w:tcPr>
            <w:tcW w:w="6200" w:type="dxa"/>
            <w:tcBorders>
              <w:top w:val="single" w:sz="4" w:space="0" w:color="FFFFFF"/>
            </w:tcBorders>
            <w:shd w:val="clear" w:color="auto" w:fill="00B0F0"/>
            <w:noWrap/>
            <w:vAlign w:val="bottom"/>
            <w:hideMark/>
          </w:tcPr>
          <w:p w14:paraId="52BCFB7A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</w:pPr>
            <w:proofErr w:type="spellStart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>Eπιστροφή</w:t>
            </w:r>
            <w:proofErr w:type="spellEnd"/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l-GR"/>
                <w14:ligatures w14:val="none"/>
              </w:rPr>
              <w:t xml:space="preserve"> ΕΦΚ</w:t>
            </w:r>
          </w:p>
        </w:tc>
        <w:tc>
          <w:tcPr>
            <w:tcW w:w="1359" w:type="dxa"/>
            <w:noWrap/>
            <w:vAlign w:val="bottom"/>
            <w:hideMark/>
          </w:tcPr>
          <w:p w14:paraId="3708538F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77.429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bottom"/>
            <w:hideMark/>
          </w:tcPr>
          <w:p w14:paraId="557A5F6D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78.816</w:t>
            </w:r>
          </w:p>
        </w:tc>
      </w:tr>
      <w:tr w:rsidR="006974A8" w:rsidRPr="006974A8" w14:paraId="06794A32" w14:textId="77777777" w:rsidTr="002814CF">
        <w:trPr>
          <w:trHeight w:val="280"/>
        </w:trPr>
        <w:tc>
          <w:tcPr>
            <w:tcW w:w="6200" w:type="dxa"/>
            <w:shd w:val="clear" w:color="auto" w:fill="002060"/>
            <w:noWrap/>
            <w:vAlign w:val="bottom"/>
            <w:hideMark/>
          </w:tcPr>
          <w:p w14:paraId="2313DFE4" w14:textId="77777777" w:rsidR="006974A8" w:rsidRPr="006974A8" w:rsidRDefault="006974A8" w:rsidP="00281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  <w:t>Σύνολο:</w:t>
            </w:r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4C80FBFA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  <w:t>3.383.752</w:t>
            </w:r>
          </w:p>
        </w:tc>
        <w:tc>
          <w:tcPr>
            <w:tcW w:w="1359" w:type="dxa"/>
            <w:shd w:val="clear" w:color="auto" w:fill="002060"/>
            <w:noWrap/>
            <w:vAlign w:val="bottom"/>
            <w:hideMark/>
          </w:tcPr>
          <w:p w14:paraId="0B4F90F9" w14:textId="77777777" w:rsidR="006974A8" w:rsidRPr="006974A8" w:rsidRDefault="006974A8" w:rsidP="002814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</w:pPr>
            <w:r w:rsidRPr="006974A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8"/>
                <w:szCs w:val="28"/>
                <w:lang w:eastAsia="el-GR"/>
                <w14:ligatures w14:val="none"/>
              </w:rPr>
              <w:t>3.820.360</w:t>
            </w:r>
          </w:p>
        </w:tc>
      </w:tr>
    </w:tbl>
    <w:p w14:paraId="5B1C9D78" w14:textId="77777777" w:rsidR="006974A8" w:rsidRDefault="006974A8"/>
    <w:p w14:paraId="73D1E672" w14:textId="5D6D454D" w:rsidR="002814CF" w:rsidRPr="002814CF" w:rsidRDefault="00427121" w:rsidP="00281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Πίνακας 1: </w:t>
      </w:r>
      <w:r w:rsidR="002814CF" w:rsidRPr="002814CF">
        <w:rPr>
          <w:b/>
          <w:bCs/>
          <w:sz w:val="28"/>
          <w:szCs w:val="28"/>
        </w:rPr>
        <w:t>Συγκριτικός πίνακας πληρωμών στους αγρότες 2024-2025:</w:t>
      </w:r>
    </w:p>
    <w:p w14:paraId="5682AC28" w14:textId="6CFFABB7" w:rsidR="002814CF" w:rsidRDefault="009069C2" w:rsidP="00C24B80">
      <w:pPr>
        <w:jc w:val="both"/>
      </w:pPr>
      <w:r>
        <w:t>Τα ποσά είναι σε χιλ. ευρώ. Συνολικά έγιναν πληρωμές 3,82 δισ. ευρώ το 2025 έναντι 3,38 δισ. ευρώ το 2024.</w:t>
      </w:r>
    </w:p>
    <w:bookmarkEnd w:id="0"/>
    <w:p w14:paraId="7972B155" w14:textId="77777777" w:rsidR="002814CF" w:rsidRDefault="002814CF" w:rsidP="00C24B80">
      <w:pPr>
        <w:jc w:val="both"/>
        <w:rPr>
          <w:i/>
          <w:iCs/>
        </w:rPr>
      </w:pPr>
    </w:p>
    <w:p w14:paraId="4009FEB1" w14:textId="77777777" w:rsidR="002814CF" w:rsidRPr="00427121" w:rsidRDefault="00427121" w:rsidP="00281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Πίνακας 2: </w:t>
      </w:r>
      <w:r w:rsidR="002814CF" w:rsidRPr="002814CF">
        <w:rPr>
          <w:b/>
          <w:bCs/>
          <w:sz w:val="28"/>
          <w:szCs w:val="28"/>
        </w:rPr>
        <w:t>Αναλυτικός πίνακας πληρωμών στους αγρότες για το 2025</w:t>
      </w:r>
    </w:p>
    <w:tbl>
      <w:tblPr>
        <w:tblW w:w="1006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789"/>
        <w:gridCol w:w="3307"/>
        <w:gridCol w:w="1134"/>
        <w:gridCol w:w="2835"/>
      </w:tblGrid>
      <w:tr w:rsidR="00427121" w:rsidRPr="00C00556" w14:paraId="7C06F8D9" w14:textId="77777777" w:rsidTr="00861AF8">
        <w:trPr>
          <w:trHeight w:val="289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center"/>
            <w:hideMark/>
          </w:tcPr>
          <w:p w14:paraId="5A7CAD0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ΠΛΗΡΩΜΕΣ ΧΡΟΝΙΚΗΣ ΠΕΡΙΟΔΟΥ 1/1/2025 - 31/12/2025</w:t>
            </w:r>
          </w:p>
        </w:tc>
      </w:tr>
      <w:tr w:rsidR="00427121" w:rsidRPr="00C00556" w14:paraId="0871E02D" w14:textId="77777777" w:rsidTr="00861AF8">
        <w:trPr>
          <w:trHeight w:val="2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3285A115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ΕΙΔΟΣ ΕΝΙΣΧΥΣΗΣ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B816D0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ΣΤΟΙΧΕΙΑ ΕΝΙΣΧΥΣΗΣ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3F40B3E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ΠΟΣΟ σε χιλ. €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3042A99E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ΠΗΓΗ ΧΡΗΜΑΤΟΔΟΤΗΣΗΣ</w:t>
            </w:r>
          </w:p>
        </w:tc>
      </w:tr>
      <w:tr w:rsidR="00427121" w:rsidRPr="00C00556" w14:paraId="5E76618A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3B1E6A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A7960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F1026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0E5B4518" w14:textId="77777777" w:rsidR="00427121" w:rsidRPr="00C00556" w:rsidRDefault="00427121" w:rsidP="00AD6B5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065481ED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E88DFB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ΟΠΕΚΕΠΕ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FAD00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0AD1D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bottom"/>
            <w:hideMark/>
          </w:tcPr>
          <w:p w14:paraId="4220FB4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B38303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3091E3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9EC6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ΚΑΘΕΣΤΩΣ ΒΑΣΙΚΗΣ ΕΝΙΣΧΥΣΗΣ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E974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00DC48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6275EB5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59DFC3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225E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ΠΡΑΣΙΝΗ ΕΝΙΣΧΥΣΗ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A07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61C48F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E244C8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F6903B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08C0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ΝΕΟΙ ΓΕΩΡΓΟΙ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B3E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34D0E2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79E4AE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1989B8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364A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ΝΗΣΙΑ ΑΙΓΑΙΟΥ - ΑΜΕΣΕΣ ΕΝΙΣΧΥΣΕΙΣ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8658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16.061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ACD61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4345EC75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EAD821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4D9A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ΛΟΙΠΕΣ ΑΜΕΣΕΣ ΕΝΙΣΧΥΣΕΙΣ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F2DC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C8B9E5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2F0B70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6C8D2CB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9CEC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ΠΥΛΩΝΑΣ I - ΜΕΤΡΑ ΚΟΙΝΩΝ ΟΡΓΑΝΩΣΕΩΝ ΑΓΟΡΑΣ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C32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55.047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06D7A1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6DFDB14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37AAE4C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2189B7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750FE10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73.962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7D39362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583C689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4E43E7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 - ΣΣΚΑΠ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6D6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ΒΑΣΙΚΗ ΕΙΣΟΔΗΜΑΤΙΚΗ ΣΤΗΡΙΞΗ ΓΙΑ ΤΗ ΒΙΩΣΙΜΟΤΗΤΑ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D3DD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595.958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87B2B6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E7E1987" w14:textId="77777777" w:rsidTr="00861AF8">
        <w:trPr>
          <w:trHeight w:val="63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084DA0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CCD0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ΣΥΜΠΛΗΡΩΜΑΤΙΚΗ ΑΝΑΔΙΑΝΕΜΗΤΙΚΗ ΕΙΣΟΔΗΜΑΤΙΚΗ ΣΤΗΡΙΞΗ ΓΙΑ ΤΗ ΒΙΩΣΙΜΟΤΗΤΑ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17B6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153.767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626EDC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08C911A6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46A64F7F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493E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ΣΥΜΠΛΗΡΩΜΑΤΙΚΗ ΕΙΣΟΔΗΜΑΤΙΚΗ ΣΤΗΡΙΞΗ ΓΙΑ ΓΕΩΡΓΟΥΣ ΝΕΑΡΗΣ ΗΛΙΚΙΑΣ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BCE4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18.479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B564CB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47B4D47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4B6BDA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CFC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Συνδεδεμένη εισοδηματική στήριξη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0327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234.791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AE16F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0A01442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F48541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D54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Προγράμματα για το κλίμα και το περιβάλλον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571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413.403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5EFEE9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D88524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6835EAE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0E82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Ειδική ενίσχυση για το βαμβάκι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7B46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152.237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AB1AEB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9A6A668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31C990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ΕΓΤΕ (ΠΥΛΩΝΑΣ I) - ΣΣΚΑΠ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CA6A69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051F77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1.568.635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238ED5A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ECA1206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94AB59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5BC45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M01 - Δράσεις μεταφοράς γνώσεων και ενημέρωσης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48F6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13.509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5EEA20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F69DC72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19224E3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6C3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885A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29.757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47D210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6DB2BBD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B3ACA65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35B6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M03 - Συστήματα ποιότητας γεωργικών προϊόντων και τροφίμων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59E8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61ECE3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0B294B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129DE3B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5EE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M04 - Επενδύσεις σε υλικά στοιχεία του ενεργητικού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91CE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545.723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446F1A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AE4611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E00686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1B0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M04 - Επενδύσεις σε υλικά στοιχεία του ενεργητικού (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Ηρτημένη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Αποζημίωση)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B7E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C3CFDE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045E43D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66DFD6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6C6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7B4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5.145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D9CB7D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A446A3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451D1E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3BC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M06 - Ανάπτυξη γεωργικών εκμεταλλεύσεων και επιχειρήσεων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6050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A8CE54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0E97FB6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1DABE49A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9DE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M07 - Βασικές υπηρεσίες και ανάπλαση χωριών σε αγροτικές περιοχές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F2BA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649F70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B431A0C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794691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1A7C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M08 - Επενδύσεις στην ανάπτυξη δασικών περιοχών και στη βελτίωση της βιωσιμότητας των δασών (Εντός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24C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635DBE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A342EB4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84AF701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C77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M08 - Επενδύσεις στην ανάπτυξη δασικών περιοχών και στη βελτίωση της βιωσιμότητας των δασών (Εκτός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BF66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21.988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B89A2B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0F5F21A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6EF0A2B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EC2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M10 - Ενισχύσεις για τη γεωργία, το περιβάλλον και το κλίμα  (Εντός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7E2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72.234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D17467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5E049F8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655D13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8424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M10 - Ενισχύσεις για τη γεωργία, το περιβάλλον και το κλίμα (Εκτός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Όσδε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D3E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3.079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3288E1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19A958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1882A51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4D9D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M11 - Βιολογική γεωργία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70A6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47.266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4C76C8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1F7C44D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268831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D1A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M16 - Συνεργασία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D251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36.887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03525C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AD3F9C1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932728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58A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M19 - Ομάδες τοπικής δράσης LEADER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51A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187.968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0C0ADA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CF307D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121193D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1EE8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M20 - Τεχνική βοήθεια κρατών μελών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7D7A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10.123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CD9071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1778FF5" w14:textId="77777777" w:rsidTr="00861AF8">
        <w:trPr>
          <w:trHeight w:val="52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2811D0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2449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M23 - Έκτακτη προσωρινή στήριξη ρευστότητας στους γεωργούς, που έχουν πληγεί από φυσικές καταστροφές, μετά την 1η Ιανουαρίου 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580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169.693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536C6D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82D6A85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02DA800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36E2DBD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4DD710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1.145.105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3E46AB7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A79A851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15C4C2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ΕΓΤΑΑ (ΠΥΛΩΝΑΣ II) - ΣΣΚΑΠ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34EB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Π3-70-1.3 - Εφαρμογή της μεθόδου παρεμπόδισης σύζευξης των εντομολογικών εχθρών των καλλιεργειών (ΚΟΜΦΟΥΖΙΟ)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F795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18632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EE63D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21FBAE9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83B0A8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0A5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Π3-70-1.5  - Διατήρηση απειλούμενων αυτόχθονων φυλών αγροτικών ζώων έτους ενίσχυσης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D79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30460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95B643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682AF04F" w14:textId="77777777" w:rsidTr="00861AF8">
        <w:trPr>
          <w:trHeight w:val="44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6527A4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AA6E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Π3-70-2.1 - Ενισχύσεις για τη μετατροπή σε βιολογικές πρακτικές και μεθόδους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B7F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46074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A0B8CF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7C67FA7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5252031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043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ΣΣΚΑΠ - ΠΥΛΩΝΑΣ IΙ - ΠΑΡΕΜΒΑΣΗ 3-71 - 2024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66AD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8571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35CDBC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AF47DC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3C00A8A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21D0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ΣΣΚΑΠ - ΠΥΛΩΝΑΣ IΙ - ΠΑΡΕΜΒΑΣΗ 3-71 - 2025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F742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173017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C87A5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937AD1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08B67C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A4279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ΣΣΚΑΠ - ΠΥΛΩΝΑΣ IΙ - ΠΑΡΕΜΒΑΣΗ 3-73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E08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21648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7D6098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8FE74F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47F86F0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7217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ΣΣΚΑΠ - ΠΥΛΩΝΑΣ IΙ - ΠΑΡΕΜΒΑΣΗ 3-94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B197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5408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BEB9D4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41B9EE5F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44DA8B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ΕΓΤΑΑ (ΠΥΛΩΝΑΣ II) - ΣΣΚΑΠ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F18A24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F1601C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303.810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4A4E87B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AA441D2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4FA796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ΛΟΙΠΕΣ ΠΛΗΡΩΜΕΣ ΕΛΕΓΕΠ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FEB1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ΚΡΑΤΙΚΗ ΕΝΙΣΧΥΣΗ ΗΣΣΟΝΟΣ ΣΗΜΑΣΙΑΣ (Καν. (ΕΕ) 1408/2013 (ποσό 69.726 από τα 92.594 αφορά πληρωμές για ζωοτροφές)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A8B3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92.594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07B060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14EF3858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A7DDCF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F5F5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ΚΡΑΤΙΚΗ ΕΝΙΣΧΥΣΗ ΗΣΣΟΝΟΣ ΣΗΜΑΣΙΑΣ (Καν. (ΕΕ) 717/2014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F913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383DE2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5FB64BD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851533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18D1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ΚΡΑΤΙΚΗ ΕΝΙΣΧΥΣΗ ΜΝΑ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82B9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1.181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2A9C51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5A63E0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8548EE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675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ΛΟΙΠΕΣ ΠΛΗΡΩΜΕΣ ΕΛΕΓΕΠ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5C61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14.275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6F3E50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6066E74" w14:textId="77777777" w:rsidTr="00861AF8">
        <w:trPr>
          <w:trHeight w:val="2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65A7198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ΛΟΙΠΕΣ ΠΛΗΡΩΜΕΣ ΕΛΕΓΕΠ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568BB266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847E92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109.698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09C7EE1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9A44F3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FC8408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ΟΠΕΚΕΠΕ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505FE2C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098B58B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3.201.210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41D814D7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225B877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F7F423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C77B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C714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40C7200F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78CEE153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C227EF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1D2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37F7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409D8C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3C69B72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3A7177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ΥΠΑΑΤ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C3C739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2A701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center"/>
            <w:hideMark/>
          </w:tcPr>
          <w:p w14:paraId="451C250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57E2D17" w14:textId="77777777" w:rsidTr="00861AF8">
        <w:trPr>
          <w:trHeight w:val="28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5464CF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ΠΡΟΓΡΑΜΜΑΤΑ ΑΛΙΕΙΑΣ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05027BF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1.1.1 - Βελτίωση των υποδομών που εξυπηρετούν την αλιεία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4B597D7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10.316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2FA29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134DF98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24948CD8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C0AD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1.4.1  - Συλλογή, διαχείριση και χρήση δεδομένων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9BCA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5.602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E77B3A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513579F9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472ABD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797A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1.4.2 - Βελτίωση του ελέγχου και της επιβολής των κανόνων της αλιείας, μέσω της γνώσης και της ανάπτυξης και εφαρμογής αποτελεσματικών και καινοτόμων τεχνολογιών ελέγχου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2746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8.184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FF97CC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A2A120D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B95139C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E0C7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1.6.1 - Τεχνικά έργα για την προστασία και την αποκατάσταση της βιοποικιλότητας και των οικοσυστημάτων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B49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7.149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9AD588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B78B6B6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7B0362D9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0EC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1.6.2 - Αποζημίωση στα αλιευτικά σκάφη της παράκτιας αλιείας για την καταστροφή αλιευτικών εργαλείων και την απώλεια παραγωγής από θαλάσσια προστατευόμενα είδη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7AA2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40.406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778D6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0FC7C2D5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1061520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182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2.2.1 - Σχέδια Παραγωγής και Εμπορίας (ΣΠΕ)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A4D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1.438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2C265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37F9FFBB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D8A161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E00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3.1.1 - Στήριξη των Ομάδων Τοπικής Δράσης (ΟΤΔ) για την προετοιμασία της στρατηγικής τοπικής ανάπτυξης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371F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3C7183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14E37650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bottom"/>
            <w:hideMark/>
          </w:tcPr>
          <w:p w14:paraId="0CD4707E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572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5.1.1 - Τεχνική Βοήθεια ΕΤΘΑΥ 2021-2027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7B0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1.520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8F407F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Συγχρηματοδοτούμενο ΠΔΕ</w:t>
            </w:r>
          </w:p>
        </w:tc>
      </w:tr>
      <w:tr w:rsidR="00427121" w:rsidRPr="00C00556" w14:paraId="2954251E" w14:textId="77777777" w:rsidTr="00861AF8">
        <w:trPr>
          <w:trHeight w:val="2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753EA9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ΠΡΟΓΡΑΜΜΑΤΑ ΑΛΙΕΙΑΣ 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7FEB87E4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9C9307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74.719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0655EC3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53AAD7E8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C20C4A5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ΑΠΟΖΗΜΙΩΣΕΙΣ ΓΙΑ ΤΗΝ ΕΥΛΟΓΙΑ (επιπλέον της ενίσχυσης για ζωοτροφές)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B22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Αποζημιώσεις για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θανατωθέντα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ζώα (πληρωμές προς τις Περιφέρειες)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25AB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61.952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2EE868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6965BDB5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C29BF5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E4133" w14:textId="38C53442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Κάλυψη δαπανών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περιφερειών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για τη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διαχείριση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της Ευλογιάς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1E2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7.184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5E9120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7DED1911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F2BABC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02F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Αποζημιώσεις για απώλεια εισοδήματος όσων έχουν θανατώσει ζώα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E4ED9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28.496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203916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01C284B4" w14:textId="77777777" w:rsidTr="00861AF8">
        <w:trPr>
          <w:trHeight w:val="52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0BE7916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ΑΠΟΖΗΜΙΩΣΕΙΣ ΓΙΑ ΤΗΝ ΕΥΛΟΓΙΑ (επιπλέον της ενίσχυσης για ζωοτροφές)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DC2939B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CA58411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97.632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34C8431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03E5FCF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1E699B79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ΥΠΑΑΤ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547E3FA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0A5C100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172.351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08E0B9A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B3A8E3D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3EE478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591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7B6F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D240E0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76F2FA0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06F8B6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048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2F72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4B323C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04F01B74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F82F3C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ΕΛΓΑ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CEED4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671FB1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center"/>
            <w:hideMark/>
          </w:tcPr>
          <w:p w14:paraId="2DBB491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2DA5894" w14:textId="77777777" w:rsidTr="00861AF8">
        <w:trPr>
          <w:trHeight w:val="51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0A59DCAD" w14:textId="40459AA3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Πληρωμή αποζημιώσεων για ζημίες έτους 2024 και προκ</w:t>
            </w:r>
            <w:r w:rsidR="00861AF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ταβολής 2025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3473A0C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30/1/2025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52EBDA8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30.551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D2AED3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28516545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D84EF3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2B4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4/3/2025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169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38.184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FF2952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043EEF4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5A6C8F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81E0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10/4/2025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4767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55.924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AE0919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3781571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D6F50C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0E5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30/5/2025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AE5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8.709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20F63E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297E0E89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0DB744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AFA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29/7/2025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5436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5.158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18CD0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25011A8E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4006FD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7AC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8/10/2025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9DB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798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634DCA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47DB0A8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6647C0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B69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B89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4.895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3268578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6D50D491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930F21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4CDB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16/12/2025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285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116.388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25C630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1298655C" w14:textId="77777777" w:rsidTr="00861AF8">
        <w:trPr>
          <w:trHeight w:val="52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50F7BFA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Πληρωμή αποζημιώσεων για ζημίες έτους 2024 και προκαταβολής 2025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B7F4E31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6DE78B4F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260.607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66D849E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B76AFE3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753B9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Ενισχύσεις  </w:t>
            </w:r>
            <w:proofErr w:type="spellStart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Daniel-Elias</w:t>
            </w:r>
            <w:proofErr w:type="spellEnd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2025, Πυρκαγιές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CAA8F" w14:textId="468EB96E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Αργολίδα, Αρκαδία,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Βοιωτία, Εύβοια, Καρδίτσα, Καστοριά, Κόρινθος, Λακωνία, Λάρισα, Μαγνησία, Μεσσηνία, Τρίκαλα, Φθιώτιδα (28/3/2025)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168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2.702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375061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18BFC650" w14:textId="77777777" w:rsidTr="00861AF8">
        <w:trPr>
          <w:trHeight w:val="61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467F0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977E" w14:textId="18DC9138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Αργολίδα, Αρκαδία,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Βοιωτία, Εύβοια, Ηλεία, Καρδίτσα, Κόρινθος, Λακωνία, Λάρισα, Μαγνησία, Μεσσηνία, Τρίκαλα, Φθιώτιδα  (30/07/2025)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78AD9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1.228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2768B0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69011CAE" w14:textId="77777777" w:rsidTr="00861AF8">
        <w:trPr>
          <w:trHeight w:val="51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27A4D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B71F1" w14:textId="1EC53A9A" w:rsidR="00427121" w:rsidRPr="00C00556" w:rsidRDefault="00861AF8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="00427121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Βοιωτία, Εύβοια, Καρδίτσα, Κόρινθος, Λάρισα, Μαγνησία, Τρίκαλα, Φθιώτιδα (16/12/2025)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205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20871C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4CF39CD5" w14:textId="77777777" w:rsidTr="00861AF8">
        <w:trPr>
          <w:trHeight w:val="77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B62D0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B56DD" w14:textId="527248F9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ΚΡΑΤΙΚΗ ΑΡΩΓΗ Πληρωμή προκαταβολών ενισχύσεων απώλειας φυτικού κεφαλαίου </w:t>
            </w: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Daniel-Elias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(Βοιωτία, Εύβοια, Καρδίτσα, 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Λάρισα, Μαγνησία, Τρίκαλα,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Φθιώτιδα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) (23/12/2025)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41E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34.351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19C86F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10758AF6" w14:textId="77777777" w:rsidTr="00861AF8">
        <w:trPr>
          <w:trHeight w:val="103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D47A0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73C1" w14:textId="42DA2EFC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Ενίσχυση τελικών δικαιούχων στο πλαίσιο αποκατάστασης του φυτικού κεφαλαίου σε συνέχεια θεομηνίας (εκκαθάριση πορισμάτων πυρκαγιών 2021) (Αργολίδα, Αρκαδία, Αττική,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Αχαΐα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Δωδεκάνησα, Εύβοια, Ηλεία, Λακωνία, Μεσσηνία, Φθιώτιδα, Φωκίδα) (21/7/2025)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498F1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13.258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11C299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57CB341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60BCD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828F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ΠΥΡΚΑΓΙΕΣ 2023 (Καβάλα, Φθιώτιδα) (23/12/2025)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73E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A7724C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0CA15FA8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4" w:space="0" w:color="auto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299B61D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904D051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ΠΥΡΚΑΓΙΕΣ 2023 (Έβρος, Ροδόπη) (23/12/2025)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58B88625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39FF27A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3FDA9470" w14:textId="77777777" w:rsidTr="00861AF8">
        <w:trPr>
          <w:trHeight w:val="52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5DF5AA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Ενισχύσεις </w:t>
            </w:r>
            <w:proofErr w:type="spellStart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Daniel-Elias</w:t>
            </w:r>
            <w:proofErr w:type="spellEnd"/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2025, Πυρκαγιές  Άθροισμα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6132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D8D8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52.464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040C53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2D960DE" w14:textId="77777777" w:rsidTr="00861AF8">
        <w:trPr>
          <w:trHeight w:val="28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F7D752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Λοιπές Κρατικές Οικονομικές Ενισχύσεις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4B03A17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16/4/2025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6557608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2.398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41FCBC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4FB34D4C" w14:textId="77777777" w:rsidTr="00861AF8">
        <w:trPr>
          <w:trHeight w:val="105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865FAB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1198C" w14:textId="65ABB0A2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ΜΗΛΑ 2023 Ad hoc πρόγραμμα για την αντιμετώπιση της ζημιάς που επήλθε στους παραγωγούς μήλων των ΠΕ Αρκαδίας, Γρεβενών, Ημαθίας, Καστοριάς, Κοζάνης, Κορινθίας, Πέλλας και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Φλώρινας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, λόγω των βροχοπτώσεων που σημειώθηκαν το 2023 (2/06/2025)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F77C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11.087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71C31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Τακτικός Προϋπολογισμός</w:t>
            </w:r>
          </w:p>
        </w:tc>
      </w:tr>
      <w:tr w:rsidR="00427121" w:rsidRPr="00C00556" w14:paraId="083C9FAF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CA94968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EAB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1/8/2025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DA82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2.486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F39674B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30E77628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18C6C4B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610B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10/10/2025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B89E7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1.371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0964BD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67F1763C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AAC9F38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F42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11/11/2025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104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1.249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333734C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5CC2FA29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551CCD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D17C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8/12/2025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6BAF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E6F3EA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A4768A4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F03D5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1E50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23/12/2025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CC6F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1.943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AD8CD4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45894D7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0864B9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F55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ΚΟΕ 30/12/2025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6CC6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2.700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1C3C049A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ΕΛΓΑ</w:t>
            </w:r>
          </w:p>
        </w:tc>
      </w:tr>
      <w:tr w:rsidR="00427121" w:rsidRPr="00C00556" w14:paraId="7CB84FF0" w14:textId="77777777" w:rsidTr="00861AF8">
        <w:trPr>
          <w:trHeight w:val="5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3F6E30B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Λοιπές Κρατικές Οικονομικές Ενισχύσεις Άθροισμα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150A05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D23459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23.662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1D3105C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33C23EDB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5DFB72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ΕΛΓΑ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3282A9FD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59C01FAE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336.733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3A8C4F1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28DE0976" w14:textId="77777777" w:rsidTr="00861AF8">
        <w:trPr>
          <w:trHeight w:val="27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DF21ED1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07C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F13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FA4304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5FA8EDA7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91DC7A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94E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2FD7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98147B7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7D773857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B20604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ΠΛΗΡΩΜΕΣ ΜΕΣΩ ΚΛΙΚΡΙ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E9DCC4D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B381C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E2EFDA"/>
            <w:noWrap/>
            <w:vAlign w:val="center"/>
            <w:hideMark/>
          </w:tcPr>
          <w:p w14:paraId="6F85DCDF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C9F910A" w14:textId="77777777" w:rsidTr="00861AF8">
        <w:trPr>
          <w:trHeight w:val="77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61B96002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Πρόγραμμα Φυσικών καταστροφών, αποζημιώσεις σε αγρότες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1FA5170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  <w:proofErr w:type="spellEnd"/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2023 (ΠΕ Καρδίτσας, Λάρισας, Μαγνησίας, Τρικάλων, Εύβοιας και Φθιώτιδας). Προκαταβολή σε αγρότες έναντι επιχορήγησης (86% της τελικής επιχορήγησης) 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nil"/>
              <w:right w:val="nil"/>
            </w:tcBorders>
            <w:vAlign w:val="center"/>
            <w:hideMark/>
          </w:tcPr>
          <w:p w14:paraId="1B721DE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27.973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3F1C1AC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5CE90957" w14:textId="77777777" w:rsidTr="00861AF8">
        <w:trPr>
          <w:trHeight w:val="52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408C1742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596504BC" w14:textId="5F82E393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Πυρκαγιές 2023 (ΠΕ Έβρου, Εύβοιας, Καβάλας, Κορινθίας, Μαγνησίας, Ρόδου, Ροδόπης). </w:t>
            </w:r>
            <w:r w:rsidR="00861AF8"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Αποζημιώσεις</w:t>
            </w: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σε αγρότες.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3737E4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50BF7B4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Εθνικό ΠΔΕ</w:t>
            </w:r>
          </w:p>
        </w:tc>
      </w:tr>
      <w:tr w:rsidR="00427121" w:rsidRPr="00C00556" w14:paraId="3E8510D5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318316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Γενικό Άθροισμα ΚΛΙΚΡΙ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022D5F9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21B81B6A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31.250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2F006DE7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651D3383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11E39406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5915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6F97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495E273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1882A97E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C4E0B59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183E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E43A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6BC7FE0" w14:textId="77777777" w:rsidR="00427121" w:rsidRPr="00C00556" w:rsidRDefault="00427121" w:rsidP="00AD6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7121" w:rsidRPr="00C00556" w14:paraId="007323DF" w14:textId="77777777" w:rsidTr="00861AF8">
        <w:trPr>
          <w:trHeight w:val="104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67ACF693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ΕΠΙΣΤΡΟΦΗ ΤΟΥ ΕΦΚ ΣΤΟ ΠΕΤΡΕΛΑΙΟ ΚΙΝΗΣΗΣ (απομένει για το 2025 η πληρωμή του Δεκεμβρίου που θα πραγματοποιηθεί τον Ιανουάριο)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17C6142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4BAC047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78.816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2134C4E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Τακτικός Προϋπολογισμός</w:t>
            </w:r>
          </w:p>
        </w:tc>
      </w:tr>
      <w:tr w:rsidR="00427121" w:rsidRPr="00C00556" w14:paraId="3DEDABE7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D3D6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B0EE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6E3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9F6CC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7121" w:rsidRPr="00C00556" w14:paraId="60C991A3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94CF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A583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6409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981D" w14:textId="77777777" w:rsidR="00427121" w:rsidRPr="00C00556" w:rsidRDefault="00427121" w:rsidP="00AD6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7121" w:rsidRPr="00C00556" w14:paraId="47269A2B" w14:textId="77777777" w:rsidTr="00861AF8">
        <w:trPr>
          <w:trHeight w:val="299"/>
        </w:trPr>
        <w:tc>
          <w:tcPr>
            <w:tcW w:w="27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2FE4F2D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ΓΕΝΙΚΟ ΣΥΝΟΛΟ ΠΛΗΡΩΜΩΝ</w:t>
            </w:r>
          </w:p>
        </w:tc>
        <w:tc>
          <w:tcPr>
            <w:tcW w:w="3307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D4590D3" w14:textId="77777777" w:rsidR="00427121" w:rsidRPr="00C00556" w:rsidRDefault="00427121" w:rsidP="00AD6B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00556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000000" w:fill="C0E6F5"/>
            <w:vAlign w:val="center"/>
            <w:hideMark/>
          </w:tcPr>
          <w:p w14:paraId="70D1E39D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3.820.360</w:t>
            </w:r>
          </w:p>
        </w:tc>
        <w:tc>
          <w:tcPr>
            <w:tcW w:w="283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C0E6F5"/>
            <w:vAlign w:val="center"/>
            <w:hideMark/>
          </w:tcPr>
          <w:p w14:paraId="3F15ECB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2CAA0AF8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EF5493A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εκ των οποίων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F53D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DD5C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F0ACEBE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38BCADCE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12738B90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Συγχρηματοδοτούμενο ΠΔΕ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C1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AF04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3.166.230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B20E9F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537CDB2F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9648217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Εθνικό ΠΔΕ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866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9D73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135.540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68911C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3F977527" w14:textId="77777777" w:rsidTr="00861AF8">
        <w:trPr>
          <w:trHeight w:val="289"/>
        </w:trPr>
        <w:tc>
          <w:tcPr>
            <w:tcW w:w="2789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7F1819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ΕΛΓΑ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B204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03AB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273.182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2DE18426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27121" w:rsidRPr="00C00556" w14:paraId="0D93B5DC" w14:textId="77777777" w:rsidTr="00861AF8">
        <w:trPr>
          <w:trHeight w:val="299"/>
        </w:trPr>
        <w:tc>
          <w:tcPr>
            <w:tcW w:w="278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307640B8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Τακτικός Προϋπολογισμός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439DADBB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bottom"/>
            <w:hideMark/>
          </w:tcPr>
          <w:p w14:paraId="131EC570" w14:textId="77777777" w:rsidR="00427121" w:rsidRPr="00C00556" w:rsidRDefault="00427121" w:rsidP="00AD6B5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245.408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1E891FBF" w14:textId="77777777" w:rsidR="00427121" w:rsidRPr="00C00556" w:rsidRDefault="00427121" w:rsidP="00AD6B5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00556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6B479BB" w14:textId="77777777" w:rsidR="00427121" w:rsidRPr="00427121" w:rsidRDefault="00427121" w:rsidP="002814CF">
      <w:pPr>
        <w:jc w:val="center"/>
        <w:rPr>
          <w:b/>
          <w:bCs/>
          <w:sz w:val="28"/>
          <w:szCs w:val="28"/>
          <w:lang w:val="en-US"/>
        </w:rPr>
      </w:pPr>
    </w:p>
    <w:sectPr w:rsidR="00427121" w:rsidRPr="004271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A8"/>
    <w:rsid w:val="000404A1"/>
    <w:rsid w:val="000816BF"/>
    <w:rsid w:val="002814CF"/>
    <w:rsid w:val="002E3EAF"/>
    <w:rsid w:val="0042652D"/>
    <w:rsid w:val="00427121"/>
    <w:rsid w:val="004A1EEB"/>
    <w:rsid w:val="00604887"/>
    <w:rsid w:val="00685342"/>
    <w:rsid w:val="006974A8"/>
    <w:rsid w:val="006C4103"/>
    <w:rsid w:val="00783187"/>
    <w:rsid w:val="007E2C62"/>
    <w:rsid w:val="00861AF8"/>
    <w:rsid w:val="009069C2"/>
    <w:rsid w:val="00A23692"/>
    <w:rsid w:val="00C24B80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97A8"/>
  <w15:chartTrackingRefBased/>
  <w15:docId w15:val="{97B2DBE4-DE54-0249-8504-00492E5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4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4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4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4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EF5BF9-5E43-4F18-A34E-473B6795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Ανθή Γεωργίου</cp:lastModifiedBy>
  <cp:revision>2</cp:revision>
  <dcterms:created xsi:type="dcterms:W3CDTF">2026-01-02T13:38:00Z</dcterms:created>
  <dcterms:modified xsi:type="dcterms:W3CDTF">2026-01-02T13:38:00Z</dcterms:modified>
</cp:coreProperties>
</file>