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DCB9E" w14:textId="555C538D" w:rsidR="00D02966" w:rsidRPr="00957B71" w:rsidRDefault="00D02966">
      <w:pPr>
        <w:pStyle w:val="BodyText"/>
        <w:tabs>
          <w:tab w:val="left" w:pos="6122"/>
        </w:tabs>
        <w:ind w:left="1793"/>
        <w:rPr>
          <w:rFonts w:ascii="Ping LCG Regular" w:hAnsi="Ping LCG Regular"/>
          <w:position w:val="19"/>
        </w:rPr>
      </w:pPr>
    </w:p>
    <w:p w14:paraId="1E75EE73" w14:textId="7AE4AA4D" w:rsidR="0023684F" w:rsidRPr="00957B71" w:rsidRDefault="0023684F" w:rsidP="00BD7A6D">
      <w:pPr>
        <w:pStyle w:val="BodyText"/>
        <w:tabs>
          <w:tab w:val="left" w:pos="6122"/>
        </w:tabs>
        <w:ind w:left="0" w:right="-478"/>
        <w:rPr>
          <w:rFonts w:ascii="Ping LCG Regular" w:hAnsi="Ping LCG Regular"/>
        </w:rPr>
      </w:pPr>
      <w:r w:rsidRPr="00957B71">
        <w:rPr>
          <w:rFonts w:ascii="Ping LCG Regular" w:hAnsi="Ping LCG Regular"/>
          <w:position w:val="19"/>
        </w:rPr>
        <w:tab/>
      </w:r>
    </w:p>
    <w:p w14:paraId="5D9F4478" w14:textId="77777777" w:rsidR="003D5BA7" w:rsidRPr="00957B71" w:rsidRDefault="003D5BA7" w:rsidP="00264142">
      <w:pPr>
        <w:pStyle w:val="BodyText"/>
        <w:ind w:left="142" w:right="91"/>
        <w:jc w:val="center"/>
        <w:rPr>
          <w:rFonts w:ascii="Ping LCG Regular" w:hAnsi="Ping LCG Regular"/>
        </w:rPr>
      </w:pPr>
    </w:p>
    <w:p w14:paraId="5B2A3D84" w14:textId="77777777" w:rsidR="00227971" w:rsidRPr="00957B71" w:rsidRDefault="00227971" w:rsidP="00264142">
      <w:pPr>
        <w:pStyle w:val="BodyText"/>
        <w:ind w:left="142" w:right="91"/>
        <w:jc w:val="center"/>
        <w:rPr>
          <w:rFonts w:ascii="Ping LCG Regular" w:hAnsi="Ping LCG Regular"/>
          <w:b/>
          <w:bCs/>
          <w:lang w:val="en-US"/>
        </w:rPr>
      </w:pPr>
    </w:p>
    <w:p w14:paraId="320B1C06" w14:textId="035E7E91" w:rsidR="00346FEE" w:rsidRDefault="00346FEE" w:rsidP="00264142">
      <w:pPr>
        <w:pStyle w:val="BodyText"/>
        <w:ind w:left="142" w:right="91"/>
        <w:jc w:val="center"/>
        <w:rPr>
          <w:rFonts w:ascii="Ping LCG Regular" w:hAnsi="Ping LCG Regular"/>
          <w:b/>
          <w:bCs/>
        </w:rPr>
      </w:pPr>
      <w:r w:rsidRPr="00957B71">
        <w:rPr>
          <w:rFonts w:ascii="Ping LCG Regular" w:hAnsi="Ping LCG Regular"/>
          <w:b/>
          <w:bCs/>
        </w:rPr>
        <w:t>Ανακοίνωση – Ρυθμιζόμενη πληροφορία</w:t>
      </w:r>
    </w:p>
    <w:p w14:paraId="2E02A1FA" w14:textId="77777777" w:rsidR="00D52AF0" w:rsidRDefault="00D52AF0" w:rsidP="00264142">
      <w:pPr>
        <w:pStyle w:val="BodyText"/>
        <w:ind w:left="142" w:right="91"/>
        <w:jc w:val="center"/>
        <w:rPr>
          <w:rFonts w:ascii="Ping LCG Regular" w:hAnsi="Ping LCG Regular"/>
          <w:b/>
          <w:bCs/>
        </w:rPr>
      </w:pPr>
    </w:p>
    <w:p w14:paraId="2257B3CC" w14:textId="5E48B166" w:rsidR="00D52AF0" w:rsidRPr="00957B71" w:rsidRDefault="00D52AF0" w:rsidP="00D52AF0">
      <w:pPr>
        <w:pStyle w:val="BodyText"/>
        <w:ind w:left="142" w:right="91"/>
        <w:jc w:val="right"/>
        <w:rPr>
          <w:rFonts w:ascii="Ping LCG Regular" w:hAnsi="Ping LCG Regular"/>
          <w:b/>
          <w:bCs/>
        </w:rPr>
      </w:pPr>
      <w:r w:rsidRPr="00D52AF0">
        <w:rPr>
          <w:rFonts w:ascii="Ping LCG Regular" w:hAnsi="Ping LCG Regular"/>
          <w:b/>
          <w:bCs/>
        </w:rPr>
        <w:t>Αθήνα, 25 Μαΐου 2026</w:t>
      </w:r>
    </w:p>
    <w:p w14:paraId="731051EF" w14:textId="77777777" w:rsidR="00346FEE" w:rsidRPr="00957B71" w:rsidRDefault="00346FEE" w:rsidP="00264142">
      <w:pPr>
        <w:pStyle w:val="BodyText"/>
        <w:ind w:left="142" w:right="91"/>
        <w:jc w:val="center"/>
        <w:rPr>
          <w:rFonts w:ascii="Ping LCG Regular" w:hAnsi="Ping LCG Regular"/>
          <w:b/>
          <w:bCs/>
        </w:rPr>
      </w:pPr>
    </w:p>
    <w:p w14:paraId="78AF56E8" w14:textId="35F42A87" w:rsidR="00594755" w:rsidRPr="00957B71" w:rsidRDefault="00594755" w:rsidP="00264142">
      <w:pPr>
        <w:pStyle w:val="BodyText"/>
        <w:ind w:left="142" w:right="91"/>
        <w:jc w:val="center"/>
        <w:rPr>
          <w:rFonts w:ascii="Ping LCG Regular" w:hAnsi="Ping LCG Regular"/>
          <w:b/>
          <w:bCs/>
        </w:rPr>
      </w:pPr>
      <w:r w:rsidRPr="00957B71">
        <w:rPr>
          <w:rFonts w:ascii="Ping LCG Regular" w:hAnsi="Ping LCG Regular"/>
          <w:b/>
          <w:bCs/>
        </w:rPr>
        <w:t>ΣΗΜΑΝΤΙΚΗ ΓΝΩΣΤΟΠΟΙΗΣΗ – ΑΠΟΠΟΙΗΣΗ ΕΥΘΥΝΗΣ</w:t>
      </w:r>
    </w:p>
    <w:p w14:paraId="54D2DC80" w14:textId="3E430F40" w:rsidR="00D33C98" w:rsidRPr="00957B71" w:rsidRDefault="00594755" w:rsidP="00264142">
      <w:pPr>
        <w:pStyle w:val="BodyText"/>
        <w:ind w:left="142" w:right="91"/>
        <w:jc w:val="both"/>
        <w:rPr>
          <w:rFonts w:ascii="Ping LCG Regular" w:hAnsi="Ping LCG Regular"/>
          <w:b/>
          <w:bCs/>
          <w:sz w:val="10"/>
        </w:rPr>
      </w:pPr>
      <w:r w:rsidRPr="00957B71">
        <w:rPr>
          <w:rFonts w:ascii="Ping LCG Regular" w:hAnsi="Ping LCG Regular"/>
          <w:b/>
          <w:bCs/>
        </w:rPr>
        <w:t>ΑΥΤΗ Η ΑΝΑΚΟΙΝΩΣΗ ΔΕΝ ΑΠΕΥΘΥΝΕΤΑΙ ΚΑΙ ΔΕΝ ΠΡΟΚΕΙΤΑΙ ΝΑ ΔΗΜΟΣΙΕΥΘΕΊ Ή ΔΙΑΝΕΜΗΘΕΙ, ΑΜΕΣΑ Ή ΕΜΜΕΣΑ, ΣΤΙΣ Ή ΠΡΟΣ ΤΙΣ ΗΝΩΜΕΝΕΣ ΠΟΛΙΤΕΙΕΣ, ΤΟΝ ΚΑΝΑΔΑ, ΤΗΝ ΑΥΣΤΡΑΛΙΑ, ΤΗ ΝΟΤΙΑ ΑΦΡΙΚΗ Ή ΤΗΝ ΙΑΠΩΝΙΑ</w:t>
      </w:r>
      <w:r w:rsidR="00D146C2" w:rsidRPr="00957B71">
        <w:rPr>
          <w:rFonts w:ascii="Ping LCG Regular" w:hAnsi="Ping LCG Regular"/>
          <w:b/>
          <w:bCs/>
        </w:rPr>
        <w:t>.</w:t>
      </w:r>
    </w:p>
    <w:p w14:paraId="088D9C13" w14:textId="77777777" w:rsidR="00D33C98" w:rsidRPr="00957B71" w:rsidRDefault="00D33C98" w:rsidP="008070DF">
      <w:pPr>
        <w:pStyle w:val="Title"/>
        <w:spacing w:before="56" w:line="259" w:lineRule="auto"/>
        <w:ind w:left="142" w:right="89"/>
        <w:jc w:val="both"/>
        <w:rPr>
          <w:rFonts w:ascii="Ping LCG Regular" w:hAnsi="Ping LCG Regular"/>
        </w:rPr>
      </w:pPr>
    </w:p>
    <w:p w14:paraId="624BA71C" w14:textId="44A70FD9" w:rsidR="00766845" w:rsidRPr="00957B71" w:rsidRDefault="00BD7A6D" w:rsidP="008070DF">
      <w:pPr>
        <w:pStyle w:val="Title"/>
        <w:spacing w:before="56" w:line="259" w:lineRule="auto"/>
        <w:ind w:left="142" w:right="89"/>
        <w:jc w:val="both"/>
        <w:rPr>
          <w:rFonts w:ascii="Ping LCG Regular" w:hAnsi="Ping LCG Regular"/>
        </w:rPr>
      </w:pPr>
      <w:r w:rsidRPr="00957B71">
        <w:rPr>
          <w:rFonts w:ascii="Ping LCG Regular" w:hAnsi="Ping LCG Regular"/>
        </w:rPr>
        <w:t>ΑΝΑΚΟΙΝΩΣΗ</w:t>
      </w:r>
      <w:r w:rsidR="00EA73A1" w:rsidRPr="00957B71">
        <w:rPr>
          <w:rFonts w:ascii="Ping LCG Regular" w:hAnsi="Ping LCG Regular"/>
        </w:rPr>
        <w:t xml:space="preserve"> ΣΤΟ ΕΠΕΝΔΥΤΙΚΟ ΚΟΙΝΟ</w:t>
      </w:r>
      <w:r w:rsidRPr="00957B71">
        <w:rPr>
          <w:rFonts w:ascii="Ping LCG Regular" w:hAnsi="Ping LCG Regular"/>
        </w:rPr>
        <w:t xml:space="preserve"> ΑΝΑΦΟΡΙΚΑ ΜΕ ΤΗΝ ΕΚΒΑΣΗ ΤΗΣ </w:t>
      </w:r>
      <w:r w:rsidR="00FE4388" w:rsidRPr="00957B71">
        <w:rPr>
          <w:rFonts w:ascii="Ping LCG Regular" w:hAnsi="Ping LCG Regular"/>
        </w:rPr>
        <w:t>ΣΥΝΔΥΑΣΜΕΝΗΣ</w:t>
      </w:r>
      <w:r w:rsidRPr="00957B71">
        <w:rPr>
          <w:rFonts w:ascii="Ping LCG Regular" w:hAnsi="Ping LCG Regular"/>
        </w:rPr>
        <w:t xml:space="preserve"> ΠΡΟΣΦΟΡΑΣ ΣΤΗΝ ΕΛΛΑΔΑ</w:t>
      </w:r>
      <w:r w:rsidR="00771F8C" w:rsidRPr="00957B71">
        <w:rPr>
          <w:rFonts w:ascii="Ping LCG Regular" w:hAnsi="Ping LCG Regular"/>
        </w:rPr>
        <w:t xml:space="preserve"> ΚΑΙ ΣΤΟ ΕΞΩΤΕΡΙΚΟ</w:t>
      </w:r>
      <w:r w:rsidRPr="00957B71">
        <w:rPr>
          <w:rFonts w:ascii="Ping LCG Regular" w:hAnsi="Ping LCG Regular"/>
        </w:rPr>
        <w:t xml:space="preserve"> ΝΕΩΝ, ΚΟΙΝΩΝ, ΟΝΟΜΑΣΤΙΚΩΝ ΜΕΤΑ ΨΗΦΟΥ ΑΥΛΩΝ ΜΕΤΟΧΩΝ, </w:t>
      </w:r>
      <w:r w:rsidR="0051420D" w:rsidRPr="00957B71">
        <w:rPr>
          <w:rFonts w:ascii="Ping LCG Regular" w:hAnsi="Ping LCG Regular"/>
        </w:rPr>
        <w:t xml:space="preserve">ΕΚΔΟΣΕΩΣ </w:t>
      </w:r>
      <w:r w:rsidRPr="00957B71">
        <w:rPr>
          <w:rFonts w:ascii="Ping LCG Regular" w:hAnsi="Ping LCG Regular"/>
        </w:rPr>
        <w:t>ΤΗΣ «</w:t>
      </w:r>
      <w:r w:rsidR="00A34959" w:rsidRPr="00957B71">
        <w:rPr>
          <w:rFonts w:ascii="Ping LCG Regular" w:hAnsi="Ping LCG Regular"/>
        </w:rPr>
        <w:t>ΔΗΜΟΣΙΑ ΕΠΙΧΕΙΡΗΣΗ ΗΛΕΚΤΡΙΣΜΟΥ ΑΝΩΝΥΜΗ ΕΤΑΙΡΕΙΑ</w:t>
      </w:r>
      <w:r w:rsidRPr="00957B71">
        <w:rPr>
          <w:rFonts w:ascii="Ping LCG Regular" w:hAnsi="Ping LCG Regular"/>
        </w:rPr>
        <w:t>»</w:t>
      </w:r>
    </w:p>
    <w:p w14:paraId="0B56CD7E" w14:textId="693AB7FE" w:rsidR="00766845" w:rsidRPr="00957B71" w:rsidRDefault="00766845">
      <w:pPr>
        <w:pStyle w:val="BodyText"/>
        <w:spacing w:before="3"/>
        <w:ind w:left="0"/>
        <w:rPr>
          <w:rFonts w:ascii="Ping LCG Regular" w:hAnsi="Ping LCG Regular"/>
          <w:b/>
          <w:sz w:val="22"/>
        </w:rPr>
      </w:pPr>
    </w:p>
    <w:p w14:paraId="62E8EF69" w14:textId="77777777" w:rsidR="004453C0" w:rsidRPr="00957B71" w:rsidRDefault="004453C0" w:rsidP="004453C0">
      <w:pPr>
        <w:pStyle w:val="BodyText"/>
        <w:spacing w:after="120" w:line="276" w:lineRule="auto"/>
        <w:ind w:left="1525" w:right="1526"/>
        <w:jc w:val="center"/>
        <w:rPr>
          <w:rFonts w:ascii="Ping LCG Regular" w:hAnsi="Ping LCG Regular"/>
          <w:b/>
          <w:bCs/>
        </w:rPr>
      </w:pPr>
    </w:p>
    <w:p w14:paraId="1D35792C" w14:textId="77777777" w:rsidR="004453C0" w:rsidRPr="00957B71" w:rsidRDefault="004453C0" w:rsidP="004453C0">
      <w:pPr>
        <w:pStyle w:val="BodyText"/>
        <w:spacing w:line="276" w:lineRule="auto"/>
        <w:ind w:left="0" w:right="45"/>
        <w:jc w:val="center"/>
        <w:rPr>
          <w:rFonts w:ascii="Ping LCG Regular" w:hAnsi="Ping LCG Regular"/>
          <w:b/>
          <w:bCs/>
        </w:rPr>
      </w:pPr>
      <w:r w:rsidRPr="00957B71">
        <w:rPr>
          <w:rFonts w:ascii="Ping LCG Regular" w:hAnsi="Ping LCG Regular"/>
          <w:b/>
          <w:bCs/>
        </w:rPr>
        <w:t>ΣΥΝΤΟΝΙΣΤΕΣ ΤΟΠΟΘΕΤΗΣΗΣ</w:t>
      </w:r>
    </w:p>
    <w:p w14:paraId="27764149" w14:textId="77777777" w:rsidR="004453C0" w:rsidRPr="00957B71" w:rsidRDefault="004453C0" w:rsidP="004453C0">
      <w:pPr>
        <w:pStyle w:val="BodyText"/>
        <w:tabs>
          <w:tab w:val="left" w:pos="7938"/>
        </w:tabs>
        <w:spacing w:line="276" w:lineRule="auto"/>
        <w:ind w:left="0" w:right="45"/>
        <w:jc w:val="center"/>
        <w:rPr>
          <w:rFonts w:ascii="Ping LCG Regular" w:hAnsi="Ping LCG Regular"/>
          <w:b/>
          <w:bCs/>
        </w:rPr>
      </w:pPr>
      <w:r w:rsidRPr="00957B71">
        <w:rPr>
          <w:rFonts w:ascii="Ping LCG Regular" w:eastAsia="Times New Roman" w:hAnsi="Ping LCG Regular"/>
          <w:b/>
          <w:noProof/>
          <w:color w:val="000000"/>
          <w:szCs w:val="24"/>
          <w:lang w:val="en-US"/>
        </w:rPr>
        <w:drawing>
          <wp:anchor distT="0" distB="0" distL="114300" distR="114300" simplePos="0" relativeHeight="251658250" behindDoc="1" locked="0" layoutInCell="1" allowOverlap="1" wp14:anchorId="1725A7AD" wp14:editId="1A9E500C">
            <wp:simplePos x="0" y="0"/>
            <wp:positionH relativeFrom="column">
              <wp:posOffset>1959032</wp:posOffset>
            </wp:positionH>
            <wp:positionV relativeFrom="paragraph">
              <wp:posOffset>133044</wp:posOffset>
            </wp:positionV>
            <wp:extent cx="1047403" cy="238893"/>
            <wp:effectExtent l="0" t="0" r="635" b="8890"/>
            <wp:wrapNone/>
            <wp:docPr id="193150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403" cy="2388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7B71">
        <w:rPr>
          <w:rFonts w:ascii="Ping LCG Regular" w:hAnsi="Ping LCG Regular"/>
          <w:b/>
          <w:bCs/>
          <w:noProof/>
          <w:lang w:val="en-US"/>
        </w:rPr>
        <w:drawing>
          <wp:anchor distT="0" distB="0" distL="114300" distR="114300" simplePos="0" relativeHeight="251658242" behindDoc="0" locked="0" layoutInCell="1" allowOverlap="1" wp14:anchorId="467198AD" wp14:editId="0EFB0728">
            <wp:simplePos x="0" y="0"/>
            <wp:positionH relativeFrom="column">
              <wp:posOffset>3168650</wp:posOffset>
            </wp:positionH>
            <wp:positionV relativeFrom="paragraph">
              <wp:posOffset>200660</wp:posOffset>
            </wp:positionV>
            <wp:extent cx="1144905" cy="150495"/>
            <wp:effectExtent l="0" t="0" r="0" b="1905"/>
            <wp:wrapNone/>
            <wp:docPr id="1028"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65207B-54EE-DBC3-25C8-2C2FD3E1A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65207B-54EE-DBC3-25C8-2C2FD3E1AA1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4905" cy="1504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57B71">
        <w:rPr>
          <w:rFonts w:ascii="Ping LCG Regular" w:hAnsi="Ping LCG Regular"/>
          <w:b/>
          <w:bCs/>
          <w:noProof/>
          <w:lang w:val="en-US"/>
        </w:rPr>
        <w:drawing>
          <wp:anchor distT="0" distB="0" distL="114300" distR="114300" simplePos="0" relativeHeight="251658241" behindDoc="0" locked="0" layoutInCell="1" allowOverlap="1" wp14:anchorId="4F4E48FF" wp14:editId="095332B6">
            <wp:simplePos x="0" y="0"/>
            <wp:positionH relativeFrom="column">
              <wp:posOffset>4491950</wp:posOffset>
            </wp:positionH>
            <wp:positionV relativeFrom="paragraph">
              <wp:posOffset>197485</wp:posOffset>
            </wp:positionV>
            <wp:extent cx="855345" cy="149860"/>
            <wp:effectExtent l="0" t="0" r="1905" b="2540"/>
            <wp:wrapNone/>
            <wp:docPr id="7" name="Picture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D49341-6CE0-FC94-BC85-9EE9FAC8C00B}"/>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D49341-6CE0-FC94-BC85-9EE9FAC8C00B}"/>
                        </a:ext>
                      </a:extLst>
                    </pic:cNvPr>
                    <pic:cNvPicPr/>
                  </pic:nvPicPr>
                  <pic:blipFill>
                    <a:blip r:embed="rId12"/>
                    <a:stretch>
                      <a:fillRect/>
                    </a:stretch>
                  </pic:blipFill>
                  <pic:spPr>
                    <a:xfrm>
                      <a:off x="0" y="0"/>
                      <a:ext cx="855345" cy="149860"/>
                    </a:xfrm>
                    <a:prstGeom prst="rect">
                      <a:avLst/>
                    </a:prstGeom>
                  </pic:spPr>
                </pic:pic>
              </a:graphicData>
            </a:graphic>
          </wp:anchor>
        </w:drawing>
      </w:r>
      <w:r w:rsidRPr="00957B71">
        <w:rPr>
          <w:rFonts w:ascii="Ping LCG Regular" w:hAnsi="Ping LCG Regular"/>
          <w:b/>
          <w:bCs/>
          <w:noProof/>
          <w:lang w:val="en-US"/>
        </w:rPr>
        <w:drawing>
          <wp:anchor distT="0" distB="0" distL="114300" distR="114300" simplePos="0" relativeHeight="251658240" behindDoc="0" locked="0" layoutInCell="1" allowOverlap="1" wp14:anchorId="57CD1BF3" wp14:editId="72B61D14">
            <wp:simplePos x="0" y="0"/>
            <wp:positionH relativeFrom="column">
              <wp:posOffset>763580</wp:posOffset>
            </wp:positionH>
            <wp:positionV relativeFrom="paragraph">
              <wp:posOffset>88265</wp:posOffset>
            </wp:positionV>
            <wp:extent cx="917575" cy="281940"/>
            <wp:effectExtent l="0" t="0" r="0" b="3810"/>
            <wp:wrapNone/>
            <wp:docPr id="5"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B2C76B-2C64-1362-4CF4-F0662C1A16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B2C76B-2C64-1362-4CF4-F0662C1A168E}"/>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7575" cy="281940"/>
                    </a:xfrm>
                    <a:prstGeom prst="rect">
                      <a:avLst/>
                    </a:prstGeom>
                    <a:noFill/>
                  </pic:spPr>
                </pic:pic>
              </a:graphicData>
            </a:graphic>
          </wp:anchor>
        </w:drawing>
      </w:r>
      <w:r w:rsidRPr="00957B71">
        <w:rPr>
          <w:rFonts w:ascii="Ping LCG Regular" w:hAnsi="Ping LCG Regular"/>
          <w:b/>
          <w:bCs/>
        </w:rPr>
        <w:t xml:space="preserve"> </w:t>
      </w:r>
    </w:p>
    <w:p w14:paraId="7EB35F1D" w14:textId="77777777" w:rsidR="004453C0" w:rsidRPr="00957B71" w:rsidRDefault="004453C0" w:rsidP="004453C0">
      <w:pPr>
        <w:pStyle w:val="BodyText"/>
        <w:spacing w:before="1" w:line="276" w:lineRule="auto"/>
        <w:ind w:right="45" w:firstLine="22"/>
        <w:jc w:val="right"/>
        <w:rPr>
          <w:rFonts w:ascii="Ping LCG Regular" w:hAnsi="Ping LCG Regular"/>
        </w:rPr>
      </w:pPr>
    </w:p>
    <w:p w14:paraId="4254D452" w14:textId="77777777" w:rsidR="004453C0" w:rsidRPr="00957B71" w:rsidRDefault="004453C0" w:rsidP="004453C0">
      <w:pPr>
        <w:pStyle w:val="BodyText"/>
        <w:spacing w:after="120" w:line="276" w:lineRule="auto"/>
        <w:ind w:left="0" w:right="45"/>
        <w:jc w:val="center"/>
        <w:rPr>
          <w:rFonts w:ascii="Ping LCG Regular" w:hAnsi="Ping LCG Regular"/>
          <w:b/>
          <w:bCs/>
        </w:rPr>
      </w:pPr>
      <w:r w:rsidRPr="00957B71">
        <w:rPr>
          <w:rFonts w:ascii="Ping LCG Regular" w:hAnsi="Ping LCG Regular"/>
          <w:b/>
          <w:bCs/>
          <w:noProof/>
          <w:lang w:val="en-US"/>
        </w:rPr>
        <w:drawing>
          <wp:anchor distT="0" distB="0" distL="114300" distR="114300" simplePos="0" relativeHeight="251658245" behindDoc="0" locked="0" layoutInCell="1" allowOverlap="1" wp14:anchorId="4F86865F" wp14:editId="76DDB8F5">
            <wp:simplePos x="0" y="0"/>
            <wp:positionH relativeFrom="column">
              <wp:posOffset>3721331</wp:posOffset>
            </wp:positionH>
            <wp:positionV relativeFrom="paragraph">
              <wp:posOffset>317176</wp:posOffset>
            </wp:positionV>
            <wp:extent cx="975360" cy="125188"/>
            <wp:effectExtent l="0" t="0" r="0" b="8255"/>
            <wp:wrapNone/>
            <wp:docPr id="12" name="Picture 1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5F5D1B-53E6-D508-977D-255BA59A55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5F5D1B-53E6-D508-977D-255BA59A552F}"/>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3056" cy="126176"/>
                    </a:xfrm>
                    <a:prstGeom prst="rect">
                      <a:avLst/>
                    </a:prstGeom>
                    <a:noFill/>
                  </pic:spPr>
                </pic:pic>
              </a:graphicData>
            </a:graphic>
            <wp14:sizeRelH relativeFrom="margin">
              <wp14:pctWidth>0</wp14:pctWidth>
            </wp14:sizeRelH>
            <wp14:sizeRelV relativeFrom="margin">
              <wp14:pctHeight>0</wp14:pctHeight>
            </wp14:sizeRelV>
          </wp:anchor>
        </w:drawing>
      </w:r>
      <w:r w:rsidRPr="00957B71">
        <w:rPr>
          <w:rFonts w:ascii="Ping LCG Regular" w:hAnsi="Ping LCG Regular"/>
          <w:b/>
          <w:bCs/>
          <w:noProof/>
          <w:lang w:val="en-US"/>
        </w:rPr>
        <w:drawing>
          <wp:anchor distT="0" distB="0" distL="114300" distR="114300" simplePos="0" relativeHeight="251658244" behindDoc="0" locked="0" layoutInCell="1" allowOverlap="1" wp14:anchorId="330D9607" wp14:editId="6740FBAA">
            <wp:simplePos x="0" y="0"/>
            <wp:positionH relativeFrom="column">
              <wp:posOffset>2873433</wp:posOffset>
            </wp:positionH>
            <wp:positionV relativeFrom="paragraph">
              <wp:posOffset>186113</wp:posOffset>
            </wp:positionV>
            <wp:extent cx="385560" cy="385560"/>
            <wp:effectExtent l="0" t="0" r="0" b="0"/>
            <wp:wrapNone/>
            <wp:docPr id="11"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7CF39-CE62-A161-72A6-D592AB7620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7CF39-CE62-A161-72A6-D592AB7620CB}"/>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7622" cy="387622"/>
                    </a:xfrm>
                    <a:prstGeom prst="rect">
                      <a:avLst/>
                    </a:prstGeom>
                  </pic:spPr>
                </pic:pic>
              </a:graphicData>
            </a:graphic>
            <wp14:sizeRelH relativeFrom="margin">
              <wp14:pctWidth>0</wp14:pctWidth>
            </wp14:sizeRelH>
            <wp14:sizeRelV relativeFrom="margin">
              <wp14:pctHeight>0</wp14:pctHeight>
            </wp14:sizeRelV>
          </wp:anchor>
        </w:drawing>
      </w:r>
      <w:r w:rsidRPr="00957B71">
        <w:rPr>
          <w:rFonts w:ascii="Ping LCG Regular" w:hAnsi="Ping LCG Regular"/>
          <w:b/>
          <w:bCs/>
          <w:noProof/>
          <w:lang w:val="en-US"/>
        </w:rPr>
        <w:drawing>
          <wp:anchor distT="0" distB="0" distL="114300" distR="114300" simplePos="0" relativeHeight="251658243" behindDoc="0" locked="0" layoutInCell="1" allowOverlap="1" wp14:anchorId="02CC8248" wp14:editId="7AAEC5DD">
            <wp:simplePos x="0" y="0"/>
            <wp:positionH relativeFrom="column">
              <wp:posOffset>920539</wp:posOffset>
            </wp:positionH>
            <wp:positionV relativeFrom="paragraph">
              <wp:posOffset>199640</wp:posOffset>
            </wp:positionV>
            <wp:extent cx="436906" cy="373975"/>
            <wp:effectExtent l="0" t="0" r="1270" b="7620"/>
            <wp:wrapNone/>
            <wp:docPr id="9"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55E959-9956-AA0C-ABF1-96AA7493B6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455E959-9956-AA0C-ABF1-96AA7493B6A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8300" cy="375168"/>
                    </a:xfrm>
                    <a:prstGeom prst="rect">
                      <a:avLst/>
                    </a:prstGeom>
                  </pic:spPr>
                </pic:pic>
              </a:graphicData>
            </a:graphic>
            <wp14:sizeRelH relativeFrom="margin">
              <wp14:pctWidth>0</wp14:pctWidth>
            </wp14:sizeRelH>
            <wp14:sizeRelV relativeFrom="margin">
              <wp14:pctHeight>0</wp14:pctHeight>
            </wp14:sizeRelV>
          </wp:anchor>
        </w:drawing>
      </w:r>
      <w:r w:rsidRPr="00957B71">
        <w:rPr>
          <w:rFonts w:ascii="Ping LCG Regular" w:hAnsi="Ping LCG Regular"/>
          <w:b/>
          <w:bCs/>
          <w:noProof/>
          <w:lang w:val="en-US"/>
        </w:rPr>
        <w:drawing>
          <wp:anchor distT="0" distB="0" distL="114300" distR="114300" simplePos="0" relativeHeight="251658249" behindDoc="0" locked="0" layoutInCell="1" allowOverlap="1" wp14:anchorId="1DE9BAF5" wp14:editId="2AB60360">
            <wp:simplePos x="0" y="0"/>
            <wp:positionH relativeFrom="column">
              <wp:posOffset>1799429</wp:posOffset>
            </wp:positionH>
            <wp:positionV relativeFrom="paragraph">
              <wp:posOffset>202565</wp:posOffset>
            </wp:positionV>
            <wp:extent cx="555625" cy="370205"/>
            <wp:effectExtent l="0" t="0" r="0" b="0"/>
            <wp:wrapTopAndBottom/>
            <wp:docPr id="8" name="Picture 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7A2B8-CA29-FB75-BB58-CB8BAB5FB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7A2B8-CA29-FB75-BB58-CB8BAB5FBEF4}"/>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5625" cy="370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22023" w14:textId="77777777" w:rsidR="004453C0" w:rsidRPr="00957B71" w:rsidRDefault="004453C0" w:rsidP="004453C0">
      <w:pPr>
        <w:pStyle w:val="BodyText"/>
        <w:spacing w:after="120" w:line="276" w:lineRule="auto"/>
        <w:ind w:left="0" w:right="45"/>
        <w:jc w:val="center"/>
        <w:rPr>
          <w:rFonts w:ascii="Ping LCG Regular" w:hAnsi="Ping LCG Regular"/>
          <w:b/>
          <w:bCs/>
        </w:rPr>
      </w:pPr>
      <w:r w:rsidRPr="00957B71">
        <w:rPr>
          <w:rFonts w:ascii="Ping LCG Regular" w:hAnsi="Ping LCG Regular"/>
          <w:b/>
          <w:bCs/>
          <w:noProof/>
          <w:lang w:val="en-US"/>
        </w:rPr>
        <w:drawing>
          <wp:anchor distT="0" distB="0" distL="114300" distR="114300" simplePos="0" relativeHeight="251658246" behindDoc="0" locked="0" layoutInCell="1" allowOverlap="1" wp14:anchorId="23AC4076" wp14:editId="2231A664">
            <wp:simplePos x="0" y="0"/>
            <wp:positionH relativeFrom="column">
              <wp:posOffset>2828399</wp:posOffset>
            </wp:positionH>
            <wp:positionV relativeFrom="paragraph">
              <wp:posOffset>485425</wp:posOffset>
            </wp:positionV>
            <wp:extent cx="1613505" cy="439200"/>
            <wp:effectExtent l="0" t="0" r="6350" b="0"/>
            <wp:wrapNone/>
            <wp:docPr id="4"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1A3208-270F-8A0F-25F4-84F85D7E87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1A3208-270F-8A0F-25F4-84F85D7E87F9}"/>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9447" cy="440818"/>
                    </a:xfrm>
                    <a:prstGeom prst="rect">
                      <a:avLst/>
                    </a:prstGeom>
                  </pic:spPr>
                </pic:pic>
              </a:graphicData>
            </a:graphic>
            <wp14:sizeRelH relativeFrom="margin">
              <wp14:pctWidth>0</wp14:pctWidth>
            </wp14:sizeRelH>
            <wp14:sizeRelV relativeFrom="margin">
              <wp14:pctHeight>0</wp14:pctHeight>
            </wp14:sizeRelV>
          </wp:anchor>
        </w:drawing>
      </w:r>
      <w:r w:rsidRPr="00957B71">
        <w:rPr>
          <w:rFonts w:ascii="Ping LCG Regular" w:hAnsi="Ping LCG Regular"/>
          <w:b/>
          <w:bCs/>
          <w:noProof/>
          <w:lang w:val="en-US"/>
        </w:rPr>
        <w:drawing>
          <wp:anchor distT="0" distB="0" distL="114300" distR="114300" simplePos="0" relativeHeight="251658247" behindDoc="0" locked="0" layoutInCell="1" allowOverlap="1" wp14:anchorId="65C914A8" wp14:editId="25CA919D">
            <wp:simplePos x="0" y="0"/>
            <wp:positionH relativeFrom="column">
              <wp:posOffset>1790700</wp:posOffset>
            </wp:positionH>
            <wp:positionV relativeFrom="paragraph">
              <wp:posOffset>473405</wp:posOffset>
            </wp:positionV>
            <wp:extent cx="681990" cy="380365"/>
            <wp:effectExtent l="0" t="0" r="3810" b="635"/>
            <wp:wrapNone/>
            <wp:docPr id="10" name="Picture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685B70-3CDE-8EDD-E443-A2FC6DD68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685B70-3CDE-8EDD-E443-A2FC6DD6896E}"/>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1990" cy="380365"/>
                    </a:xfrm>
                    <a:prstGeom prst="rect">
                      <a:avLst/>
                    </a:prstGeom>
                  </pic:spPr>
                </pic:pic>
              </a:graphicData>
            </a:graphic>
            <wp14:sizeRelH relativeFrom="margin">
              <wp14:pctWidth>0</wp14:pctWidth>
            </wp14:sizeRelH>
            <wp14:sizeRelV relativeFrom="margin">
              <wp14:pctHeight>0</wp14:pctHeight>
            </wp14:sizeRelV>
          </wp:anchor>
        </w:drawing>
      </w:r>
    </w:p>
    <w:p w14:paraId="0E77AA19" w14:textId="77777777" w:rsidR="004453C0" w:rsidRPr="00957B71" w:rsidRDefault="004453C0" w:rsidP="004453C0">
      <w:pPr>
        <w:pStyle w:val="BodyText"/>
        <w:spacing w:after="120" w:line="276" w:lineRule="auto"/>
        <w:ind w:left="0" w:right="45"/>
        <w:jc w:val="center"/>
        <w:rPr>
          <w:rFonts w:ascii="Ping LCG Regular" w:hAnsi="Ping LCG Regular"/>
          <w:b/>
          <w:bCs/>
        </w:rPr>
      </w:pPr>
    </w:p>
    <w:p w14:paraId="1FC52A38" w14:textId="77777777" w:rsidR="004453C0" w:rsidRPr="00957B71" w:rsidRDefault="004453C0" w:rsidP="004453C0">
      <w:pPr>
        <w:pStyle w:val="BodyText"/>
        <w:spacing w:after="120" w:line="276" w:lineRule="auto"/>
        <w:ind w:left="0" w:right="45"/>
        <w:jc w:val="center"/>
        <w:rPr>
          <w:rFonts w:ascii="Ping LCG Regular" w:hAnsi="Ping LCG Regular"/>
          <w:b/>
          <w:bCs/>
        </w:rPr>
      </w:pPr>
    </w:p>
    <w:p w14:paraId="69F17577" w14:textId="77777777" w:rsidR="004453C0" w:rsidRPr="00957B71" w:rsidRDefault="004453C0" w:rsidP="004453C0">
      <w:pPr>
        <w:pStyle w:val="BodyText"/>
        <w:spacing w:after="120" w:line="276" w:lineRule="auto"/>
        <w:ind w:left="0" w:right="45"/>
        <w:jc w:val="center"/>
        <w:rPr>
          <w:rFonts w:ascii="Ping LCG Regular" w:hAnsi="Ping LCG Regular"/>
          <w:b/>
          <w:bCs/>
        </w:rPr>
      </w:pPr>
    </w:p>
    <w:p w14:paraId="6F344F3D" w14:textId="77777777" w:rsidR="004453C0" w:rsidRPr="00957B71" w:rsidRDefault="004453C0" w:rsidP="004453C0">
      <w:pPr>
        <w:pStyle w:val="BodyText"/>
        <w:spacing w:after="120" w:line="276" w:lineRule="auto"/>
        <w:ind w:left="0" w:right="45"/>
        <w:jc w:val="center"/>
        <w:rPr>
          <w:rFonts w:ascii="Ping LCG Regular" w:hAnsi="Ping LCG Regular"/>
          <w:b/>
          <w:bCs/>
        </w:rPr>
      </w:pPr>
      <w:r w:rsidRPr="00957B71">
        <w:rPr>
          <w:rFonts w:ascii="Ping LCG Regular" w:hAnsi="Ping LCG Regular"/>
          <w:b/>
          <w:bCs/>
        </w:rPr>
        <w:t>ΣΥΜΒΟΥΛΟΣ ΤΗΣ ΕΛΛΗΝΙΚΗΣ ΔΗΜΟΣΙΑΣ ΠΡΟΣΦΟΡΑΣ</w:t>
      </w:r>
    </w:p>
    <w:p w14:paraId="44D0BE69" w14:textId="77777777" w:rsidR="004453C0" w:rsidRPr="00957B71" w:rsidRDefault="004453C0" w:rsidP="004453C0">
      <w:pPr>
        <w:spacing w:line="276" w:lineRule="auto"/>
        <w:rPr>
          <w:rFonts w:ascii="Ping LCG Regular" w:hAnsi="Ping LCG Regular"/>
          <w:lang w:eastAsia="el-GR" w:bidi="el-GR"/>
        </w:rPr>
      </w:pPr>
      <w:r w:rsidRPr="00957B71">
        <w:rPr>
          <w:rFonts w:ascii="Ping LCG Regular" w:hAnsi="Ping LCG Regular"/>
          <w:b/>
          <w:bCs/>
          <w:noProof/>
          <w:lang w:val="en-US"/>
        </w:rPr>
        <w:drawing>
          <wp:anchor distT="0" distB="0" distL="114300" distR="114300" simplePos="0" relativeHeight="251658248" behindDoc="0" locked="0" layoutInCell="1" allowOverlap="1" wp14:anchorId="689B1244" wp14:editId="599E3E6A">
            <wp:simplePos x="0" y="0"/>
            <wp:positionH relativeFrom="margin">
              <wp:align>center</wp:align>
            </wp:positionH>
            <wp:positionV relativeFrom="paragraph">
              <wp:posOffset>70485</wp:posOffset>
            </wp:positionV>
            <wp:extent cx="917575" cy="281940"/>
            <wp:effectExtent l="0" t="0" r="0" b="3810"/>
            <wp:wrapNone/>
            <wp:docPr id="315345653"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B2C76B-2C64-1362-4CF4-F0662C1A16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B2C76B-2C64-1362-4CF4-F0662C1A168E}"/>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7575" cy="281940"/>
                    </a:xfrm>
                    <a:prstGeom prst="rect">
                      <a:avLst/>
                    </a:prstGeom>
                    <a:noFill/>
                  </pic:spPr>
                </pic:pic>
              </a:graphicData>
            </a:graphic>
          </wp:anchor>
        </w:drawing>
      </w:r>
    </w:p>
    <w:p w14:paraId="60E85306" w14:textId="77777777" w:rsidR="00BD7A6D" w:rsidRPr="00957B71" w:rsidRDefault="00BD7A6D" w:rsidP="009B460C">
      <w:pPr>
        <w:pStyle w:val="BodyText"/>
        <w:spacing w:after="120" w:line="259" w:lineRule="auto"/>
        <w:ind w:right="110"/>
        <w:jc w:val="both"/>
        <w:rPr>
          <w:rFonts w:ascii="Ping LCG Regular" w:hAnsi="Ping LCG Regular" w:cstheme="minorHAnsi"/>
          <w:spacing w:val="-1"/>
        </w:rPr>
      </w:pPr>
    </w:p>
    <w:p w14:paraId="61E3BC75" w14:textId="77777777" w:rsidR="004453C0" w:rsidRPr="00957B71" w:rsidRDefault="004453C0" w:rsidP="00D66669">
      <w:pPr>
        <w:pStyle w:val="BodyText"/>
        <w:spacing w:after="120" w:line="259" w:lineRule="auto"/>
        <w:ind w:right="110"/>
        <w:jc w:val="both"/>
        <w:rPr>
          <w:rFonts w:ascii="Ping LCG Regular" w:hAnsi="Ping LCG Regular" w:cstheme="minorHAnsi"/>
          <w:spacing w:val="-1"/>
        </w:rPr>
      </w:pPr>
    </w:p>
    <w:p w14:paraId="0EE5CC1B" w14:textId="17CF3B89" w:rsidR="00CF7964" w:rsidRPr="00957B71" w:rsidRDefault="00CF7964" w:rsidP="00D66669">
      <w:pPr>
        <w:pStyle w:val="BodyText"/>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Η </w:t>
      </w:r>
      <w:r w:rsidR="00535096" w:rsidRPr="00957B71">
        <w:rPr>
          <w:rFonts w:ascii="Ping LCG Regular" w:hAnsi="Ping LCG Regular"/>
          <w:b/>
          <w:bCs/>
        </w:rPr>
        <w:t>ΔΗΜΟΣΙΑ ΕΠΙΧΕΙΡΗΣΗ ΗΛΕΚΤΡΙΣΜΟΥ ΑΝΩΝΥΜΗ ΕΤΑΙΡΕΙΑ</w:t>
      </w:r>
      <w:r w:rsidR="00535096" w:rsidRPr="00957B71" w:rsidDel="00535096">
        <w:rPr>
          <w:rFonts w:ascii="Ping LCG Regular" w:hAnsi="Ping LCG Regular" w:cstheme="minorHAnsi"/>
          <w:b/>
          <w:bCs/>
          <w:spacing w:val="-1"/>
        </w:rPr>
        <w:t xml:space="preserve"> </w:t>
      </w:r>
      <w:r w:rsidR="00D548BF" w:rsidRPr="00957B71">
        <w:rPr>
          <w:rFonts w:ascii="Ping LCG Regular" w:hAnsi="Ping LCG Regular" w:cstheme="minorHAnsi"/>
          <w:spacing w:val="-1"/>
        </w:rPr>
        <w:t>(η «</w:t>
      </w:r>
      <w:r w:rsidR="00D548BF" w:rsidRPr="00957B71">
        <w:rPr>
          <w:rFonts w:ascii="Ping LCG Regular" w:hAnsi="Ping LCG Regular" w:cstheme="minorHAnsi"/>
          <w:b/>
          <w:bCs/>
          <w:spacing w:val="-1"/>
        </w:rPr>
        <w:t>Εταιρεία</w:t>
      </w:r>
      <w:r w:rsidR="00D548BF" w:rsidRPr="00957B71">
        <w:rPr>
          <w:rFonts w:ascii="Ping LCG Regular" w:hAnsi="Ping LCG Regular" w:cstheme="minorHAnsi"/>
          <w:spacing w:val="-1"/>
        </w:rPr>
        <w:t>»)</w:t>
      </w:r>
      <w:r w:rsidR="004453C0" w:rsidRPr="00957B71">
        <w:rPr>
          <w:rFonts w:ascii="Ping LCG Regular" w:hAnsi="Ping LCG Regular" w:cstheme="minorHAnsi"/>
          <w:spacing w:val="-1"/>
        </w:rPr>
        <w:t>, ο Σύμβουλος της Ελληνικής Δημόσιας Προσφοράς</w:t>
      </w:r>
      <w:r w:rsidR="00D548BF" w:rsidRPr="00957B71">
        <w:rPr>
          <w:rFonts w:ascii="Ping LCG Regular" w:hAnsi="Ping LCG Regular" w:cstheme="minorHAnsi"/>
          <w:spacing w:val="-1"/>
        </w:rPr>
        <w:t xml:space="preserve"> </w:t>
      </w:r>
      <w:r w:rsidR="00D66669" w:rsidRPr="00957B71">
        <w:rPr>
          <w:rFonts w:ascii="Ping LCG Regular" w:hAnsi="Ping LCG Regular" w:cstheme="minorHAnsi"/>
          <w:spacing w:val="-1"/>
        </w:rPr>
        <w:t>και οι Συντονιστές Τοποθέτησης</w:t>
      </w:r>
      <w:r w:rsidR="00D66669" w:rsidRPr="00957B71">
        <w:rPr>
          <w:rFonts w:ascii="Ping LCG Regular" w:hAnsi="Ping LCG Regular"/>
        </w:rPr>
        <w:t xml:space="preserve"> </w:t>
      </w:r>
      <w:r w:rsidR="00D66669" w:rsidRPr="00957B71">
        <w:rPr>
          <w:rFonts w:ascii="Ping LCG Regular" w:hAnsi="Ping LCG Regular" w:cstheme="minorHAnsi"/>
          <w:spacing w:val="-1"/>
        </w:rPr>
        <w:t>της Ελληνικής Δημόσιας Προσφοράς</w:t>
      </w:r>
      <w:r w:rsidR="00D548BF" w:rsidRPr="00957B71">
        <w:rPr>
          <w:rFonts w:ascii="Ping LCG Regular" w:hAnsi="Ping LCG Regular" w:cstheme="minorHAnsi"/>
          <w:spacing w:val="-1"/>
        </w:rPr>
        <w:t xml:space="preserve"> (όπως ορίζ</w:t>
      </w:r>
      <w:r w:rsidR="00613BEE" w:rsidRPr="00957B71">
        <w:rPr>
          <w:rFonts w:ascii="Ping LCG Regular" w:hAnsi="Ping LCG Regular" w:cstheme="minorHAnsi"/>
          <w:spacing w:val="-1"/>
        </w:rPr>
        <w:t>ονται</w:t>
      </w:r>
      <w:r w:rsidR="008D2F84" w:rsidRPr="00957B71">
        <w:rPr>
          <w:rFonts w:ascii="Ping LCG Regular" w:hAnsi="Ping LCG Regular" w:cstheme="minorHAnsi"/>
          <w:spacing w:val="-1"/>
        </w:rPr>
        <w:t xml:space="preserve"> κατωτέρω)</w:t>
      </w:r>
      <w:r w:rsidR="00D66669" w:rsidRPr="00957B71">
        <w:rPr>
          <w:rFonts w:ascii="Ping LCG Regular" w:hAnsi="Ping LCG Regular" w:cstheme="minorHAnsi"/>
          <w:spacing w:val="-1"/>
        </w:rPr>
        <w:t>, ανακοινώνουν, σύμφωνα</w:t>
      </w:r>
      <w:r w:rsidR="000131FE" w:rsidRPr="00957B71">
        <w:rPr>
          <w:rFonts w:ascii="Ping LCG Regular" w:hAnsi="Ping LCG Regular" w:cstheme="minorHAnsi"/>
          <w:spacing w:val="-1"/>
        </w:rPr>
        <w:t>,</w:t>
      </w:r>
      <w:r w:rsidR="00D66669" w:rsidRPr="00957B71">
        <w:rPr>
          <w:rFonts w:ascii="Ping LCG Regular" w:hAnsi="Ping LCG Regular" w:cstheme="minorHAnsi"/>
          <w:spacing w:val="-1"/>
        </w:rPr>
        <w:t xml:space="preserve"> μεταξύ άλλων</w:t>
      </w:r>
      <w:r w:rsidR="000131FE" w:rsidRPr="00957B71">
        <w:rPr>
          <w:rFonts w:ascii="Ping LCG Regular" w:hAnsi="Ping LCG Regular" w:cstheme="minorHAnsi"/>
          <w:spacing w:val="-1"/>
        </w:rPr>
        <w:t>,</w:t>
      </w:r>
      <w:r w:rsidR="00D66669" w:rsidRPr="00957B71">
        <w:rPr>
          <w:rFonts w:ascii="Ping LCG Regular" w:hAnsi="Ping LCG Regular" w:cstheme="minorHAnsi"/>
          <w:spacing w:val="-1"/>
        </w:rPr>
        <w:t xml:space="preserve"> με την </w:t>
      </w:r>
      <w:proofErr w:type="spellStart"/>
      <w:r w:rsidR="00D66669" w:rsidRPr="00957B71">
        <w:rPr>
          <w:rFonts w:ascii="Ping LCG Regular" w:hAnsi="Ping LCG Regular" w:cstheme="minorHAnsi"/>
          <w:spacing w:val="-1"/>
        </w:rPr>
        <w:t>υπ’αριθμ</w:t>
      </w:r>
      <w:proofErr w:type="spellEnd"/>
      <w:r w:rsidR="00D66669" w:rsidRPr="00957B71">
        <w:rPr>
          <w:rFonts w:ascii="Ping LCG Regular" w:hAnsi="Ping LCG Regular" w:cstheme="minorHAnsi"/>
          <w:spacing w:val="-1"/>
        </w:rPr>
        <w:t>.</w:t>
      </w:r>
      <w:r w:rsidR="00D261B7" w:rsidRPr="00957B71">
        <w:rPr>
          <w:rFonts w:ascii="Ping LCG Regular" w:hAnsi="Ping LCG Regular" w:cstheme="minorHAnsi"/>
          <w:spacing w:val="-1"/>
        </w:rPr>
        <w:t xml:space="preserve"> </w:t>
      </w:r>
      <w:r w:rsidR="00D66669" w:rsidRPr="00957B71">
        <w:rPr>
          <w:rFonts w:ascii="Ping LCG Regular" w:hAnsi="Ping LCG Regular" w:cstheme="minorHAnsi"/>
          <w:spacing w:val="-1"/>
        </w:rPr>
        <w:t>23/22.06.2004 εγκύκλιο της Επιτροπής Κεφαλαιαγοράς</w:t>
      </w:r>
      <w:r w:rsidR="00FA1E68" w:rsidRPr="00957B71">
        <w:rPr>
          <w:rFonts w:ascii="Ping LCG Regular" w:hAnsi="Ping LCG Regular" w:cstheme="minorHAnsi"/>
          <w:spacing w:val="-1"/>
        </w:rPr>
        <w:t>,</w:t>
      </w:r>
      <w:r w:rsidR="00D66669" w:rsidRPr="00957B71">
        <w:rPr>
          <w:rFonts w:ascii="Ping LCG Regular" w:hAnsi="Ping LCG Regular" w:cstheme="minorHAnsi"/>
          <w:spacing w:val="-1"/>
        </w:rPr>
        <w:t xml:space="preserve"> </w:t>
      </w:r>
      <w:r w:rsidR="000131FE" w:rsidRPr="00957B71">
        <w:rPr>
          <w:rFonts w:ascii="Ping LCG Regular" w:hAnsi="Ping LCG Regular" w:cstheme="minorHAnsi"/>
          <w:spacing w:val="-1"/>
        </w:rPr>
        <w:t>τα ακόλουθα</w:t>
      </w:r>
      <w:r w:rsidRPr="00957B71">
        <w:rPr>
          <w:rFonts w:ascii="Ping LCG Regular" w:hAnsi="Ping LCG Regular" w:cstheme="minorHAnsi"/>
          <w:spacing w:val="-1"/>
        </w:rPr>
        <w:t>:</w:t>
      </w:r>
    </w:p>
    <w:p w14:paraId="473914C7" w14:textId="78E7DB81" w:rsidR="00D63CA0" w:rsidRPr="00957B71" w:rsidRDefault="009400CB" w:rsidP="00D63CA0">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Σύμφωνα με την από </w:t>
      </w:r>
      <w:r w:rsidR="00754D33" w:rsidRPr="00957B71">
        <w:rPr>
          <w:rFonts w:ascii="Ping LCG Regular" w:hAnsi="Ping LCG Regular" w:cstheme="minorHAnsi"/>
          <w:spacing w:val="-1"/>
        </w:rPr>
        <w:t>2</w:t>
      </w:r>
      <w:r w:rsidR="006804ED" w:rsidRPr="00957B71">
        <w:rPr>
          <w:rFonts w:ascii="Ping LCG Regular" w:hAnsi="Ping LCG Regular" w:cstheme="minorHAnsi"/>
          <w:spacing w:val="-1"/>
        </w:rPr>
        <w:t>0</w:t>
      </w:r>
      <w:r w:rsidRPr="00957B71">
        <w:rPr>
          <w:rFonts w:ascii="Ping LCG Regular" w:hAnsi="Ping LCG Regular" w:cstheme="minorHAnsi"/>
          <w:spacing w:val="-1"/>
        </w:rPr>
        <w:t>.</w:t>
      </w:r>
      <w:r w:rsidR="00F75F48" w:rsidRPr="00957B71">
        <w:rPr>
          <w:rFonts w:ascii="Ping LCG Regular" w:hAnsi="Ping LCG Regular" w:cstheme="minorHAnsi"/>
          <w:spacing w:val="-1"/>
        </w:rPr>
        <w:t>05</w:t>
      </w:r>
      <w:r w:rsidRPr="00957B71">
        <w:rPr>
          <w:rFonts w:ascii="Ping LCG Regular" w:hAnsi="Ping LCG Regular" w:cstheme="minorHAnsi"/>
          <w:spacing w:val="-1"/>
        </w:rPr>
        <w:t xml:space="preserve">.2026 ανακοίνωση της Εταιρείας, </w:t>
      </w:r>
      <w:r w:rsidR="000E503A" w:rsidRPr="00957B71">
        <w:rPr>
          <w:rFonts w:ascii="Ping LCG Regular" w:hAnsi="Ping LCG Regular" w:cstheme="minorHAnsi"/>
          <w:spacing w:val="-1"/>
        </w:rPr>
        <w:t xml:space="preserve">το Διοικητικό Συμβούλιο της Εταιρείας αποφάσισε να αποδεχθεί προσφορές για Νέες Μετοχές (όπως ορίζονται κατωτέρω) συνολικού ποσού €4,25 δις μέσω της διάθεσης </w:t>
      </w:r>
      <w:r w:rsidR="00754D33" w:rsidRPr="00957B71">
        <w:rPr>
          <w:rFonts w:ascii="Ping LCG Regular" w:hAnsi="Ping LCG Regular" w:cstheme="minorHAnsi"/>
          <w:spacing w:val="-1"/>
        </w:rPr>
        <w:t>συνολικά</w:t>
      </w:r>
      <w:r w:rsidR="0032227A" w:rsidRPr="00957B71">
        <w:rPr>
          <w:rFonts w:ascii="Ping LCG Regular" w:hAnsi="Ping LCG Regular" w:cstheme="minorHAnsi"/>
          <w:spacing w:val="-1"/>
        </w:rPr>
        <w:t xml:space="preserve"> </w:t>
      </w:r>
      <w:r w:rsidR="00913D2D" w:rsidRPr="00957B71">
        <w:rPr>
          <w:rFonts w:ascii="Ping LCG Regular" w:hAnsi="Ping LCG Regular" w:cstheme="minorHAnsi"/>
          <w:spacing w:val="-1"/>
        </w:rPr>
        <w:t xml:space="preserve">228.126.677 </w:t>
      </w:r>
      <w:r w:rsidRPr="00957B71">
        <w:rPr>
          <w:rFonts w:ascii="Ping LCG Regular" w:hAnsi="Ping LCG Regular" w:cstheme="minorHAnsi"/>
          <w:spacing w:val="-1"/>
        </w:rPr>
        <w:t>νέ</w:t>
      </w:r>
      <w:r w:rsidR="000E503A" w:rsidRPr="00957B71">
        <w:rPr>
          <w:rFonts w:ascii="Ping LCG Regular" w:hAnsi="Ping LCG Regular" w:cstheme="minorHAnsi"/>
          <w:spacing w:val="-1"/>
        </w:rPr>
        <w:t>ων</w:t>
      </w:r>
      <w:r w:rsidRPr="00957B71">
        <w:rPr>
          <w:rFonts w:ascii="Ping LCG Regular" w:hAnsi="Ping LCG Regular" w:cstheme="minorHAnsi"/>
          <w:spacing w:val="-1"/>
        </w:rPr>
        <w:t>, κοιν</w:t>
      </w:r>
      <w:r w:rsidR="000E503A" w:rsidRPr="00957B71">
        <w:rPr>
          <w:rFonts w:ascii="Ping LCG Regular" w:hAnsi="Ping LCG Regular" w:cstheme="minorHAnsi"/>
          <w:spacing w:val="-1"/>
        </w:rPr>
        <w:t>ών</w:t>
      </w:r>
      <w:r w:rsidRPr="00957B71">
        <w:rPr>
          <w:rFonts w:ascii="Ping LCG Regular" w:hAnsi="Ping LCG Regular" w:cstheme="minorHAnsi"/>
          <w:spacing w:val="-1"/>
        </w:rPr>
        <w:t>, ονομαστικ</w:t>
      </w:r>
      <w:r w:rsidR="000E503A" w:rsidRPr="00957B71">
        <w:rPr>
          <w:rFonts w:ascii="Ping LCG Regular" w:hAnsi="Ping LCG Regular" w:cstheme="minorHAnsi"/>
          <w:spacing w:val="-1"/>
        </w:rPr>
        <w:t>ών</w:t>
      </w:r>
      <w:r w:rsidRPr="00957B71">
        <w:rPr>
          <w:rFonts w:ascii="Ping LCG Regular" w:hAnsi="Ping LCG Regular" w:cstheme="minorHAnsi"/>
          <w:spacing w:val="-1"/>
        </w:rPr>
        <w:t>, άυλ</w:t>
      </w:r>
      <w:r w:rsidR="000E503A" w:rsidRPr="00957B71">
        <w:rPr>
          <w:rFonts w:ascii="Ping LCG Regular" w:hAnsi="Ping LCG Regular" w:cstheme="minorHAnsi"/>
          <w:spacing w:val="-1"/>
        </w:rPr>
        <w:t>ων</w:t>
      </w:r>
      <w:r w:rsidRPr="00957B71">
        <w:rPr>
          <w:rFonts w:ascii="Ping LCG Regular" w:hAnsi="Ping LCG Regular" w:cstheme="minorHAnsi"/>
          <w:spacing w:val="-1"/>
        </w:rPr>
        <w:t>, μετά ψήφου μετοχ</w:t>
      </w:r>
      <w:r w:rsidR="000E503A" w:rsidRPr="00957B71">
        <w:rPr>
          <w:rFonts w:ascii="Ping LCG Regular" w:hAnsi="Ping LCG Regular" w:cstheme="minorHAnsi"/>
          <w:spacing w:val="-1"/>
        </w:rPr>
        <w:t>ών</w:t>
      </w:r>
      <w:r w:rsidR="00D60E9E" w:rsidRPr="00957B71">
        <w:rPr>
          <w:rFonts w:ascii="Ping LCG Regular" w:hAnsi="Ping LCG Regular" w:cstheme="minorHAnsi"/>
          <w:spacing w:val="-1"/>
        </w:rPr>
        <w:t xml:space="preserve">, ονομαστικής αξίας </w:t>
      </w:r>
      <w:r w:rsidR="00DD2622" w:rsidRPr="00957B71">
        <w:rPr>
          <w:rFonts w:ascii="Ping LCG Regular" w:hAnsi="Ping LCG Regular" w:cstheme="minorHAnsi"/>
          <w:spacing w:val="-1"/>
        </w:rPr>
        <w:t>€</w:t>
      </w:r>
      <w:r w:rsidR="00FA2CFF" w:rsidRPr="00957B71">
        <w:rPr>
          <w:rFonts w:ascii="Ping LCG Regular" w:hAnsi="Ping LCG Regular" w:cstheme="minorHAnsi"/>
          <w:spacing w:val="-1"/>
        </w:rPr>
        <w:t>2,48</w:t>
      </w:r>
      <w:r w:rsidR="00DD2622" w:rsidRPr="00957B71">
        <w:rPr>
          <w:rFonts w:ascii="Ping LCG Regular" w:hAnsi="Ping LCG Regular" w:cstheme="minorHAnsi"/>
          <w:spacing w:val="-1"/>
        </w:rPr>
        <w:t xml:space="preserve"> η κάθε μία εκδόσεως</w:t>
      </w:r>
      <w:r w:rsidRPr="00957B71">
        <w:rPr>
          <w:rFonts w:ascii="Ping LCG Regular" w:hAnsi="Ping LCG Regular" w:cstheme="minorHAnsi"/>
          <w:spacing w:val="-1"/>
        </w:rPr>
        <w:t xml:space="preserve"> της Εταιρείας (οι «</w:t>
      </w:r>
      <w:r w:rsidRPr="00957B71">
        <w:rPr>
          <w:rFonts w:ascii="Ping LCG Regular" w:hAnsi="Ping LCG Regular" w:cstheme="minorHAnsi"/>
          <w:b/>
          <w:bCs/>
          <w:spacing w:val="-1"/>
        </w:rPr>
        <w:t>Νέες Μετοχές</w:t>
      </w:r>
      <w:r w:rsidRPr="00957B71">
        <w:rPr>
          <w:rFonts w:ascii="Ping LCG Regular" w:hAnsi="Ping LCG Regular" w:cstheme="minorHAnsi"/>
          <w:spacing w:val="-1"/>
        </w:rPr>
        <w:t>»)</w:t>
      </w:r>
      <w:r w:rsidR="00071E3F" w:rsidRPr="00957B71">
        <w:rPr>
          <w:rFonts w:ascii="Ping LCG Regular" w:hAnsi="Ping LCG Regular" w:cstheme="minorHAnsi"/>
          <w:spacing w:val="-1"/>
        </w:rPr>
        <w:t>, οι οποίες</w:t>
      </w:r>
      <w:r w:rsidRPr="00957B71">
        <w:rPr>
          <w:rFonts w:ascii="Ping LCG Regular" w:hAnsi="Ping LCG Regular" w:cstheme="minorHAnsi"/>
          <w:spacing w:val="-1"/>
        </w:rPr>
        <w:t xml:space="preserve"> διατέθηκαν </w:t>
      </w:r>
      <w:r w:rsidR="00DE6326" w:rsidRPr="00957B71">
        <w:rPr>
          <w:rFonts w:ascii="Ping LCG Regular" w:hAnsi="Ping LCG Regular" w:cstheme="minorHAnsi"/>
          <w:spacing w:val="-1"/>
        </w:rPr>
        <w:t xml:space="preserve">τελικώς </w:t>
      </w:r>
      <w:r w:rsidRPr="00957B71">
        <w:rPr>
          <w:rFonts w:ascii="Ping LCG Regular" w:hAnsi="Ping LCG Regular" w:cstheme="minorHAnsi"/>
          <w:spacing w:val="-1"/>
        </w:rPr>
        <w:t>μέσω της Συνδυασμένης Προσφοράς (όπως ορίζεται κατωτέρω)</w:t>
      </w:r>
      <w:r w:rsidR="00976A84" w:rsidRPr="00957B71">
        <w:rPr>
          <w:rFonts w:ascii="Ping LCG Regular" w:hAnsi="Ping LCG Regular" w:cstheme="minorHAnsi"/>
          <w:spacing w:val="-1"/>
        </w:rPr>
        <w:t xml:space="preserve"> </w:t>
      </w:r>
      <w:r w:rsidR="009A7D8F" w:rsidRPr="00957B71">
        <w:rPr>
          <w:rFonts w:ascii="Ping LCG Regular" w:hAnsi="Ping LCG Regular" w:cstheme="minorHAnsi"/>
          <w:spacing w:val="-1"/>
        </w:rPr>
        <w:t>στην</w:t>
      </w:r>
      <w:r w:rsidR="009A7D8F" w:rsidRPr="00957B71">
        <w:rPr>
          <w:rFonts w:ascii="Ping LCG Regular" w:hAnsi="Ping LCG Regular"/>
          <w:lang w:eastAsia="el-GR" w:bidi="el-GR"/>
        </w:rPr>
        <w:t xml:space="preserve"> τιμή των €</w:t>
      </w:r>
      <w:r w:rsidR="009E1DAB" w:rsidRPr="00957B71">
        <w:rPr>
          <w:rFonts w:ascii="Ping LCG Regular" w:hAnsi="Ping LCG Regular"/>
          <w:lang w:eastAsia="el-GR" w:bidi="el-GR"/>
        </w:rPr>
        <w:t>18,63</w:t>
      </w:r>
      <w:r w:rsidR="009A7D8F" w:rsidRPr="00957B71">
        <w:rPr>
          <w:rFonts w:ascii="Ping LCG Regular" w:hAnsi="Ping LCG Regular"/>
          <w:lang w:eastAsia="el-GR" w:bidi="el-GR"/>
        </w:rPr>
        <w:t xml:space="preserve"> ανά Νέα Μετοχή (η «</w:t>
      </w:r>
      <w:r w:rsidR="009A7D8F" w:rsidRPr="00957B71">
        <w:rPr>
          <w:rFonts w:ascii="Ping LCG Regular" w:hAnsi="Ping LCG Regular"/>
          <w:b/>
          <w:bCs/>
          <w:lang w:eastAsia="el-GR" w:bidi="el-GR"/>
        </w:rPr>
        <w:t>Τιμή Διάθεσης</w:t>
      </w:r>
      <w:r w:rsidR="009A7D8F" w:rsidRPr="00957B71">
        <w:rPr>
          <w:rFonts w:ascii="Ping LCG Regular" w:hAnsi="Ping LCG Regular"/>
          <w:lang w:eastAsia="el-GR" w:bidi="el-GR"/>
        </w:rPr>
        <w:t>»)</w:t>
      </w:r>
      <w:r w:rsidR="00F1716F" w:rsidRPr="00957B71">
        <w:rPr>
          <w:rFonts w:ascii="Ping LCG Regular" w:hAnsi="Ping LCG Regular" w:cstheme="minorHAnsi"/>
          <w:spacing w:val="-1"/>
        </w:rPr>
        <w:t xml:space="preserve">, στο πλαίσιο της αύξησης του μετοχικού κεφαλαίου της </w:t>
      </w:r>
      <w:r w:rsidR="009559C9" w:rsidRPr="00957B71">
        <w:rPr>
          <w:rFonts w:ascii="Ping LCG Regular" w:hAnsi="Ping LCG Regular" w:cstheme="minorHAnsi"/>
          <w:spacing w:val="-1"/>
        </w:rPr>
        <w:t>Εταιρείας</w:t>
      </w:r>
      <w:r w:rsidR="0098613B" w:rsidRPr="00957B71">
        <w:rPr>
          <w:rFonts w:ascii="Ping LCG Regular" w:hAnsi="Ping LCG Regular" w:cstheme="minorHAnsi"/>
          <w:spacing w:val="-1"/>
        </w:rPr>
        <w:t>,</w:t>
      </w:r>
      <w:r w:rsidR="00F15C8C" w:rsidRPr="00957B71">
        <w:rPr>
          <w:rFonts w:ascii="Ping LCG Regular" w:hAnsi="Ping LCG Regular" w:cstheme="minorHAnsi"/>
          <w:spacing w:val="-1"/>
        </w:rPr>
        <w:t xml:space="preserve"> κατά τα ειδικότερα διαλαμβανόμενα στις από </w:t>
      </w:r>
      <w:r w:rsidR="000B3E82" w:rsidRPr="00957B71">
        <w:rPr>
          <w:rFonts w:ascii="Ping LCG Regular" w:hAnsi="Ping LCG Regular" w:cstheme="minorHAnsi"/>
          <w:spacing w:val="-1"/>
        </w:rPr>
        <w:t xml:space="preserve">18.05.2026 ανακοινώσεις </w:t>
      </w:r>
      <w:r w:rsidR="00463264" w:rsidRPr="00957B71">
        <w:rPr>
          <w:rFonts w:ascii="Ping LCG Regular" w:hAnsi="Ping LCG Regular" w:cstheme="minorHAnsi"/>
          <w:spacing w:val="-1"/>
        </w:rPr>
        <w:t>της (η «</w:t>
      </w:r>
      <w:r w:rsidR="00463264" w:rsidRPr="00957B71">
        <w:rPr>
          <w:rFonts w:ascii="Ping LCG Regular" w:hAnsi="Ping LCG Regular" w:cstheme="minorHAnsi"/>
          <w:b/>
          <w:bCs/>
          <w:spacing w:val="-1"/>
        </w:rPr>
        <w:t>Αύξηση Μετοχικού Κεφαλαίου</w:t>
      </w:r>
      <w:r w:rsidR="00463264" w:rsidRPr="00957B71">
        <w:rPr>
          <w:rFonts w:ascii="Ping LCG Regular" w:hAnsi="Ping LCG Regular" w:cstheme="minorHAnsi"/>
          <w:spacing w:val="-1"/>
        </w:rPr>
        <w:t>»).</w:t>
      </w:r>
    </w:p>
    <w:p w14:paraId="1F9574A4" w14:textId="62FAA380" w:rsidR="009400CB" w:rsidRPr="00957B71" w:rsidRDefault="009400CB" w:rsidP="00F81CA7">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 xml:space="preserve">Η Τιμή Διάθεσης είναι ίδια στην Ελληνική Δημόσια Προσφορά </w:t>
      </w:r>
      <w:r w:rsidR="0024573C" w:rsidRPr="00957B71">
        <w:rPr>
          <w:rFonts w:ascii="Ping LCG Regular" w:hAnsi="Ping LCG Regular" w:cstheme="minorHAnsi"/>
          <w:spacing w:val="-1"/>
        </w:rPr>
        <w:t xml:space="preserve">και στη </w:t>
      </w:r>
      <w:r w:rsidR="007B7B01" w:rsidRPr="00957B71">
        <w:rPr>
          <w:rFonts w:ascii="Ping LCG Regular" w:hAnsi="Ping LCG Regular" w:cstheme="minorHAnsi"/>
          <w:spacing w:val="-1"/>
        </w:rPr>
        <w:t xml:space="preserve">Θεσμική </w:t>
      </w:r>
      <w:r w:rsidR="0024573C" w:rsidRPr="00957B71">
        <w:rPr>
          <w:rFonts w:ascii="Ping LCG Regular" w:hAnsi="Ping LCG Regular" w:cstheme="minorHAnsi"/>
          <w:spacing w:val="-1"/>
        </w:rPr>
        <w:t xml:space="preserve">Προσφορά </w:t>
      </w:r>
      <w:r w:rsidRPr="00957B71">
        <w:rPr>
          <w:rFonts w:ascii="Ping LCG Regular" w:hAnsi="Ping LCG Regular" w:cstheme="minorHAnsi"/>
          <w:spacing w:val="-1"/>
        </w:rPr>
        <w:t xml:space="preserve">(όπως </w:t>
      </w:r>
      <w:r w:rsidR="007B7B01" w:rsidRPr="00957B71">
        <w:rPr>
          <w:rFonts w:ascii="Ping LCG Regular" w:hAnsi="Ping LCG Regular" w:cstheme="minorHAnsi"/>
          <w:spacing w:val="-1"/>
        </w:rPr>
        <w:t xml:space="preserve">ορίζονται </w:t>
      </w:r>
      <w:r w:rsidRPr="00957B71">
        <w:rPr>
          <w:rFonts w:ascii="Ping LCG Regular" w:hAnsi="Ping LCG Regular" w:cstheme="minorHAnsi"/>
          <w:spacing w:val="-1"/>
        </w:rPr>
        <w:t>κατωτέρω).</w:t>
      </w:r>
    </w:p>
    <w:p w14:paraId="40643920" w14:textId="058DFC22" w:rsidR="001749F6" w:rsidRPr="00957B71" w:rsidRDefault="009400CB"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Οι Νέες Μετοχές διατέθηκαν παράλληλα μέσω: (i) δημόσιας προσφοράς στην Ελλάδα σε Ιδιώτες Επενδυτές και Ειδικούς Επενδυτές, σύμφωνα με το άρθρο 1.4.δβ) του Κανονισμού </w:t>
      </w:r>
      <w:r w:rsidR="00F97973" w:rsidRPr="00957B71">
        <w:rPr>
          <w:rFonts w:ascii="Ping LCG Regular" w:hAnsi="Ping LCG Regular" w:cstheme="minorHAnsi"/>
          <w:spacing w:val="-1"/>
        </w:rPr>
        <w:t xml:space="preserve">(ΕΕ) </w:t>
      </w:r>
      <w:r w:rsidR="00065388" w:rsidRPr="00957B71">
        <w:rPr>
          <w:rFonts w:ascii="Ping LCG Regular" w:hAnsi="Ping LCG Regular" w:cstheme="minorHAnsi"/>
          <w:spacing w:val="-1"/>
        </w:rPr>
        <w:t>1127/2019</w:t>
      </w:r>
      <w:r w:rsidR="005C03B0" w:rsidRPr="00957B71">
        <w:rPr>
          <w:rFonts w:ascii="Ping LCG Regular" w:hAnsi="Ping LCG Regular" w:cstheme="minorHAnsi"/>
          <w:spacing w:val="-1"/>
        </w:rPr>
        <w:t>, όπως ισχύει</w:t>
      </w:r>
      <w:r w:rsidR="00C92387" w:rsidRPr="00957B71">
        <w:rPr>
          <w:rFonts w:ascii="Ping LCG Regular" w:hAnsi="Ping LCG Regular" w:cstheme="minorHAnsi"/>
          <w:spacing w:val="-1"/>
        </w:rPr>
        <w:t xml:space="preserve"> (ο «</w:t>
      </w:r>
      <w:r w:rsidR="00C92387" w:rsidRPr="00957B71">
        <w:rPr>
          <w:rFonts w:ascii="Ping LCG Regular" w:hAnsi="Ping LCG Regular" w:cstheme="minorHAnsi"/>
          <w:b/>
          <w:bCs/>
          <w:spacing w:val="-1"/>
        </w:rPr>
        <w:t>Κανονισμός</w:t>
      </w:r>
      <w:r w:rsidR="00C92387" w:rsidRPr="00957B71">
        <w:rPr>
          <w:rFonts w:ascii="Ping LCG Regular" w:hAnsi="Ping LCG Regular" w:cstheme="minorHAnsi"/>
          <w:spacing w:val="-1"/>
        </w:rPr>
        <w:t>»)</w:t>
      </w:r>
      <w:r w:rsidRPr="00957B71">
        <w:rPr>
          <w:rFonts w:ascii="Ping LCG Regular" w:hAnsi="Ping LCG Regular" w:cstheme="minorHAnsi"/>
          <w:spacing w:val="-1"/>
        </w:rPr>
        <w:t xml:space="preserve"> (η «</w:t>
      </w:r>
      <w:r w:rsidRPr="00957B71">
        <w:rPr>
          <w:rFonts w:ascii="Ping LCG Regular" w:hAnsi="Ping LCG Regular" w:cstheme="minorHAnsi"/>
          <w:b/>
          <w:bCs/>
          <w:spacing w:val="-1"/>
        </w:rPr>
        <w:t>Ελληνική Δημόσια Προσφορά</w:t>
      </w:r>
      <w:r w:rsidRPr="00957B71">
        <w:rPr>
          <w:rFonts w:ascii="Ping LCG Regular" w:hAnsi="Ping LCG Regular" w:cstheme="minorHAnsi"/>
          <w:spacing w:val="-1"/>
        </w:rPr>
        <w:t>»)</w:t>
      </w:r>
      <w:r w:rsidR="00C54521" w:rsidRPr="00957B71">
        <w:rPr>
          <w:rFonts w:ascii="Ping LCG Regular" w:hAnsi="Ping LCG Regular" w:cstheme="minorHAnsi"/>
          <w:spacing w:val="-1"/>
        </w:rPr>
        <w:t xml:space="preserve"> </w:t>
      </w:r>
      <w:r w:rsidR="00C54521" w:rsidRPr="00957B71">
        <w:rPr>
          <w:rFonts w:ascii="Ping LCG Regular" w:hAnsi="Ping LCG Regular"/>
        </w:rPr>
        <w:t>με δικαίωμα κατά προτεραιότητα κατανομής Νέων Μετοχών στους υφιστάμενους</w:t>
      </w:r>
      <w:r w:rsidR="00953265" w:rsidRPr="00957B71">
        <w:rPr>
          <w:rFonts w:ascii="Ping LCG Regular" w:hAnsi="Ping LCG Regular"/>
        </w:rPr>
        <w:t xml:space="preserve"> μετόχους της Εταιρείας</w:t>
      </w:r>
      <w:r w:rsidR="00C54521" w:rsidRPr="00957B71">
        <w:rPr>
          <w:rFonts w:ascii="Ping LCG Regular" w:hAnsi="Ping LCG Regular"/>
        </w:rPr>
        <w:t xml:space="preserve"> κατά την έναρξη διαπραγμάτευσης των υφιστάμενων </w:t>
      </w:r>
      <w:r w:rsidR="00A414C8" w:rsidRPr="00957B71">
        <w:rPr>
          <w:rFonts w:ascii="Ping LCG Regular" w:hAnsi="Ping LCG Regular"/>
        </w:rPr>
        <w:t>μ</w:t>
      </w:r>
      <w:r w:rsidR="00C54521" w:rsidRPr="00957B71">
        <w:rPr>
          <w:rFonts w:ascii="Ping LCG Regular" w:hAnsi="Ping LCG Regular"/>
        </w:rPr>
        <w:t xml:space="preserve">ετοχών </w:t>
      </w:r>
      <w:r w:rsidR="00A414C8" w:rsidRPr="00957B71">
        <w:rPr>
          <w:rFonts w:ascii="Ping LCG Regular" w:hAnsi="Ping LCG Regular"/>
        </w:rPr>
        <w:t>της Εταιρείας</w:t>
      </w:r>
      <w:r w:rsidR="00C54521" w:rsidRPr="00957B71">
        <w:rPr>
          <w:rFonts w:ascii="Ping LCG Regular" w:hAnsi="Ping LCG Regular"/>
        </w:rPr>
        <w:t xml:space="preserve"> στην </w:t>
      </w:r>
      <w:proofErr w:type="spellStart"/>
      <w:r w:rsidR="00C54521" w:rsidRPr="00957B71">
        <w:rPr>
          <w:rFonts w:ascii="Ping LCG Regular" w:hAnsi="Ping LCG Regular"/>
        </w:rPr>
        <w:t>Euronext</w:t>
      </w:r>
      <w:proofErr w:type="spellEnd"/>
      <w:r w:rsidR="00C54521" w:rsidRPr="00957B71">
        <w:rPr>
          <w:rFonts w:ascii="Ping LCG Regular" w:hAnsi="Ping LCG Regular"/>
        </w:rPr>
        <w:t xml:space="preserve"> </w:t>
      </w:r>
      <w:proofErr w:type="spellStart"/>
      <w:r w:rsidR="00C54521" w:rsidRPr="00957B71">
        <w:rPr>
          <w:rFonts w:ascii="Ping LCG Regular" w:hAnsi="Ping LCG Regular"/>
        </w:rPr>
        <w:t>Athens</w:t>
      </w:r>
      <w:proofErr w:type="spellEnd"/>
      <w:r w:rsidR="00C54521" w:rsidRPr="00957B71">
        <w:rPr>
          <w:rFonts w:ascii="Ping LCG Regular" w:hAnsi="Ping LCG Regular"/>
        </w:rPr>
        <w:t xml:space="preserve"> στις 18.05.2026, σύμφωνα με το μετοχολόγιο της Εταιρείας, που τηρείται ηλεκτρονικά μέσω της </w:t>
      </w:r>
      <w:proofErr w:type="spellStart"/>
      <w:r w:rsidR="00C54521" w:rsidRPr="00957B71">
        <w:rPr>
          <w:rFonts w:ascii="Ping LCG Regular" w:hAnsi="Ping LCG Regular"/>
        </w:rPr>
        <w:t>Euronext</w:t>
      </w:r>
      <w:proofErr w:type="spellEnd"/>
      <w:r w:rsidR="00C54521" w:rsidRPr="00957B71">
        <w:rPr>
          <w:rFonts w:ascii="Ping LCG Regular" w:hAnsi="Ping LCG Regular"/>
        </w:rPr>
        <w:t xml:space="preserve"> </w:t>
      </w:r>
      <w:proofErr w:type="spellStart"/>
      <w:r w:rsidR="00C54521" w:rsidRPr="00957B71">
        <w:rPr>
          <w:rFonts w:ascii="Ping LCG Regular" w:hAnsi="Ping LCG Regular"/>
        </w:rPr>
        <w:t>Securities</w:t>
      </w:r>
      <w:proofErr w:type="spellEnd"/>
      <w:r w:rsidR="00C54521" w:rsidRPr="00957B71">
        <w:rPr>
          <w:rFonts w:ascii="Ping LCG Regular" w:hAnsi="Ping LCG Regular"/>
        </w:rPr>
        <w:t xml:space="preserve"> </w:t>
      </w:r>
      <w:proofErr w:type="spellStart"/>
      <w:r w:rsidR="00C54521" w:rsidRPr="00957B71">
        <w:rPr>
          <w:rFonts w:ascii="Ping LCG Regular" w:hAnsi="Ping LCG Regular"/>
        </w:rPr>
        <w:t>Athens</w:t>
      </w:r>
      <w:proofErr w:type="spellEnd"/>
      <w:r w:rsidR="00C54521" w:rsidRPr="00957B71">
        <w:rPr>
          <w:rFonts w:ascii="Ping LCG Regular" w:hAnsi="Ping LCG Regular"/>
        </w:rPr>
        <w:t xml:space="preserve"> Α.Ε.(προς το σκοπό αυτό, η «</w:t>
      </w:r>
      <w:r w:rsidR="00C54521" w:rsidRPr="00957B71">
        <w:rPr>
          <w:rFonts w:ascii="Ping LCG Regular" w:hAnsi="Ping LCG Regular"/>
          <w:b/>
          <w:bCs/>
        </w:rPr>
        <w:t xml:space="preserve">Ημερομηνία </w:t>
      </w:r>
      <w:r w:rsidR="00C54521" w:rsidRPr="00957B71">
        <w:rPr>
          <w:rFonts w:ascii="Ping LCG Regular" w:hAnsi="Ping LCG Regular"/>
          <w:b/>
          <w:bCs/>
        </w:rPr>
        <w:lastRenderedPageBreak/>
        <w:t>Καταγραφής</w:t>
      </w:r>
      <w:r w:rsidR="00C54521" w:rsidRPr="00957B71">
        <w:rPr>
          <w:rFonts w:ascii="Ping LCG Regular" w:hAnsi="Ping LCG Regular"/>
        </w:rPr>
        <w:t>» και, οι εν λόγω μέτοχοι, οι «</w:t>
      </w:r>
      <w:r w:rsidR="00C54521" w:rsidRPr="00957B71">
        <w:rPr>
          <w:rFonts w:ascii="Ping LCG Regular" w:hAnsi="Ping LCG Regular"/>
          <w:b/>
          <w:bCs/>
        </w:rPr>
        <w:t>Κατά Προτεραιότητα Επενδυτές</w:t>
      </w:r>
      <w:r w:rsidR="00C54521" w:rsidRPr="00957B71">
        <w:rPr>
          <w:rFonts w:ascii="Ping LCG Regular" w:hAnsi="Ping LCG Regular"/>
        </w:rPr>
        <w:t xml:space="preserve">») κατά ποσοστό που δεν θα υπερβαίνει το ποσοστό συμμετοχής των υφιστάμενων </w:t>
      </w:r>
      <w:r w:rsidR="00761E84" w:rsidRPr="00957B71">
        <w:rPr>
          <w:rFonts w:ascii="Ping LCG Regular" w:hAnsi="Ping LCG Regular"/>
        </w:rPr>
        <w:t>μ</w:t>
      </w:r>
      <w:r w:rsidR="00C54521" w:rsidRPr="00957B71">
        <w:rPr>
          <w:rFonts w:ascii="Ping LCG Regular" w:hAnsi="Ping LCG Regular"/>
        </w:rPr>
        <w:t>ετόχων στο μετοχικό κεφάλαιο της Εταιρείας κατά την Ημερομηνία Καταγραφής, έτσι ώστε να δύνανται να διατηρήσουν έως και το ίδιο ποσοστό συμμετοχής μετά την Αύξηση Μετοχικού Κεφαλαίου (η «</w:t>
      </w:r>
      <w:r w:rsidR="00C54521" w:rsidRPr="00957B71">
        <w:rPr>
          <w:rFonts w:ascii="Ping LCG Regular" w:hAnsi="Ping LCG Regular"/>
          <w:b/>
          <w:bCs/>
        </w:rPr>
        <w:t>Κατά Προτεραιότητα Κατανομή</w:t>
      </w:r>
      <w:r w:rsidR="00C54521" w:rsidRPr="00957B71">
        <w:rPr>
          <w:rFonts w:ascii="Ping LCG Regular" w:hAnsi="Ping LCG Regular"/>
        </w:rPr>
        <w:t xml:space="preserve">»), εφόσον </w:t>
      </w:r>
      <w:r w:rsidR="00761E84" w:rsidRPr="00957B71">
        <w:rPr>
          <w:rFonts w:ascii="Ping LCG Regular" w:hAnsi="Ping LCG Regular"/>
        </w:rPr>
        <w:t>συμμετείχαν</w:t>
      </w:r>
      <w:r w:rsidR="00C54521" w:rsidRPr="00957B71">
        <w:rPr>
          <w:rFonts w:ascii="Ping LCG Regular" w:hAnsi="Ping LCG Regular"/>
        </w:rPr>
        <w:t xml:space="preserve"> σχετικώς στην Ελληνική Δημόσια Προσφορά (το «</w:t>
      </w:r>
      <w:r w:rsidR="00C54521" w:rsidRPr="00957B71">
        <w:rPr>
          <w:rFonts w:ascii="Ping LCG Regular" w:hAnsi="Ping LCG Regular"/>
          <w:b/>
          <w:bCs/>
        </w:rPr>
        <w:t>Δικαίωμα Κατά Προτεραιότητα  Κατανομής</w:t>
      </w:r>
      <w:r w:rsidR="00C54521" w:rsidRPr="00957B71">
        <w:rPr>
          <w:rFonts w:ascii="Ping LCG Regular" w:hAnsi="Ping LCG Regular"/>
        </w:rPr>
        <w:t xml:space="preserve">»), </w:t>
      </w:r>
      <w:r w:rsidRPr="00957B71">
        <w:rPr>
          <w:rFonts w:ascii="Ping LCG Regular" w:hAnsi="Ping LCG Regular" w:cstheme="minorHAnsi"/>
          <w:spacing w:val="-1"/>
        </w:rPr>
        <w:t>και (</w:t>
      </w:r>
      <w:proofErr w:type="spellStart"/>
      <w:r w:rsidRPr="00957B71">
        <w:rPr>
          <w:rFonts w:ascii="Ping LCG Regular" w:hAnsi="Ping LCG Regular" w:cstheme="minorHAnsi"/>
          <w:spacing w:val="-1"/>
        </w:rPr>
        <w:t>ii</w:t>
      </w:r>
      <w:proofErr w:type="spellEnd"/>
      <w:r w:rsidRPr="00957B71">
        <w:rPr>
          <w:rFonts w:ascii="Ping LCG Regular" w:hAnsi="Ping LCG Regular" w:cstheme="minorHAnsi"/>
          <w:spacing w:val="-1"/>
        </w:rPr>
        <w:t xml:space="preserve">) </w:t>
      </w:r>
      <w:r w:rsidR="007B7B01" w:rsidRPr="00957B71">
        <w:rPr>
          <w:rFonts w:ascii="Ping LCG Regular" w:hAnsi="Ping LCG Regular" w:cstheme="minorHAnsi"/>
          <w:spacing w:val="-1"/>
        </w:rPr>
        <w:t>ιδιωτικής τοποθέτησης εκτός Ελλάδας, και σε κάθε περίπτωση με την επιφύλαξη των υφιστάμενων εξαιρέσεων από τις ισχύουσες απαιτήσεις κατάρτισης ενημερωτικού δελτίου (η «</w:t>
      </w:r>
      <w:r w:rsidR="007B7B01" w:rsidRPr="00957B71">
        <w:rPr>
          <w:rFonts w:ascii="Ping LCG Regular" w:hAnsi="Ping LCG Regular" w:cstheme="minorHAnsi"/>
          <w:b/>
          <w:bCs/>
          <w:spacing w:val="-1"/>
        </w:rPr>
        <w:t>Θεσμική Προσφορά</w:t>
      </w:r>
      <w:r w:rsidR="007B7B01" w:rsidRPr="00957B71">
        <w:rPr>
          <w:rFonts w:ascii="Ping LCG Regular" w:hAnsi="Ping LCG Regular" w:cstheme="minorHAnsi"/>
          <w:spacing w:val="-1"/>
        </w:rPr>
        <w:t xml:space="preserve">» </w:t>
      </w:r>
      <w:r w:rsidRPr="00957B71">
        <w:rPr>
          <w:rFonts w:ascii="Ping LCG Regular" w:hAnsi="Ping LCG Regular" w:cstheme="minorHAnsi"/>
          <w:spacing w:val="-1"/>
        </w:rPr>
        <w:t>και από κοινού με την Ελληνική Δημόσια Προσφορά, η «</w:t>
      </w:r>
      <w:r w:rsidRPr="00957B71">
        <w:rPr>
          <w:rFonts w:ascii="Ping LCG Regular" w:hAnsi="Ping LCG Regular" w:cstheme="minorHAnsi"/>
          <w:b/>
          <w:bCs/>
          <w:spacing w:val="-1"/>
        </w:rPr>
        <w:t>Συνδυασμένη Προσφορά</w:t>
      </w:r>
      <w:r w:rsidRPr="00957B71">
        <w:rPr>
          <w:rFonts w:ascii="Ping LCG Regular" w:hAnsi="Ping LCG Regular" w:cstheme="minorHAnsi"/>
          <w:spacing w:val="-1"/>
        </w:rPr>
        <w:t>»).</w:t>
      </w:r>
    </w:p>
    <w:p w14:paraId="7887E160" w14:textId="5354C8AB" w:rsidR="00A50D8B" w:rsidRPr="00957B71" w:rsidRDefault="003845A6" w:rsidP="00390FEC">
      <w:pPr>
        <w:pStyle w:val="BodyText"/>
        <w:numPr>
          <w:ilvl w:val="0"/>
          <w:numId w:val="2"/>
        </w:numPr>
        <w:spacing w:after="120" w:line="259" w:lineRule="auto"/>
        <w:ind w:right="110"/>
        <w:jc w:val="both"/>
        <w:rPr>
          <w:rFonts w:ascii="Ping LCG Regular" w:hAnsi="Ping LCG Regular" w:cstheme="minorHAnsi"/>
          <w:b/>
          <w:bCs/>
          <w:spacing w:val="-1"/>
        </w:rPr>
      </w:pPr>
      <w:r w:rsidRPr="00957B71">
        <w:rPr>
          <w:rFonts w:ascii="Ping LCG Regular" w:hAnsi="Ping LCG Regular" w:cstheme="minorHAnsi"/>
          <w:spacing w:val="-1"/>
        </w:rPr>
        <w:t xml:space="preserve">Σε σχέση με την Ελληνική Δημόσια Προσφορά, η Εθνική Τράπεζα της Ελλάδος Α.Ε. </w:t>
      </w:r>
      <w:r w:rsidR="00F8738A" w:rsidRPr="00957B71">
        <w:rPr>
          <w:rFonts w:ascii="Ping LCG Regular" w:hAnsi="Ping LCG Regular" w:cstheme="minorHAnsi"/>
          <w:spacing w:val="-1"/>
        </w:rPr>
        <w:t xml:space="preserve">ενήργησε </w:t>
      </w:r>
      <w:r w:rsidRPr="00957B71">
        <w:rPr>
          <w:rFonts w:ascii="Ping LCG Regular" w:hAnsi="Ping LCG Regular" w:cstheme="minorHAnsi"/>
          <w:spacing w:val="-1"/>
        </w:rPr>
        <w:t xml:space="preserve">ως Σύμβουλος Έκδοσης, και η Εθνική Τράπεζα της Ελλάδος Α.Ε., η Alpha Bank Α.Ε., η </w:t>
      </w:r>
      <w:proofErr w:type="spellStart"/>
      <w:r w:rsidRPr="00957B71">
        <w:rPr>
          <w:rFonts w:ascii="Ping LCG Regular" w:hAnsi="Ping LCG Regular" w:cstheme="minorHAnsi"/>
          <w:spacing w:val="-1"/>
        </w:rPr>
        <w:t>Eurobank</w:t>
      </w:r>
      <w:proofErr w:type="spellEnd"/>
      <w:r w:rsidRPr="00957B71">
        <w:rPr>
          <w:rFonts w:ascii="Ping LCG Regular" w:hAnsi="Ping LCG Regular" w:cstheme="minorHAnsi"/>
          <w:spacing w:val="-1"/>
        </w:rPr>
        <w:t xml:space="preserve"> Α.Ε., η Τράπεζα Πειραιώς Α.Ε., η Euroxx Χρηματιστηριακή Α.Ε.Π.Ε.Υ., η AXIA </w:t>
      </w:r>
      <w:proofErr w:type="spellStart"/>
      <w:r w:rsidRPr="00957B71">
        <w:rPr>
          <w:rFonts w:ascii="Ping LCG Regular" w:hAnsi="Ping LCG Regular" w:cstheme="minorHAnsi"/>
          <w:spacing w:val="-1"/>
        </w:rPr>
        <w:t>Ventures</w:t>
      </w:r>
      <w:proofErr w:type="spellEnd"/>
      <w:r w:rsidRPr="00957B71">
        <w:rPr>
          <w:rFonts w:ascii="Ping LCG Regular" w:hAnsi="Ping LCG Regular" w:cstheme="minorHAnsi"/>
          <w:spacing w:val="-1"/>
        </w:rPr>
        <w:t xml:space="preserve"> </w:t>
      </w:r>
      <w:proofErr w:type="spellStart"/>
      <w:r w:rsidRPr="00957B71">
        <w:rPr>
          <w:rFonts w:ascii="Ping LCG Regular" w:hAnsi="Ping LCG Regular" w:cstheme="minorHAnsi"/>
          <w:spacing w:val="-1"/>
        </w:rPr>
        <w:t>Group</w:t>
      </w:r>
      <w:proofErr w:type="spellEnd"/>
      <w:r w:rsidRPr="00957B71">
        <w:rPr>
          <w:rFonts w:ascii="Ping LCG Regular" w:hAnsi="Ping LCG Regular" w:cstheme="minorHAnsi"/>
          <w:spacing w:val="-1"/>
        </w:rPr>
        <w:t xml:space="preserve"> </w:t>
      </w:r>
      <w:proofErr w:type="spellStart"/>
      <w:r w:rsidRPr="00957B71">
        <w:rPr>
          <w:rFonts w:ascii="Ping LCG Regular" w:hAnsi="Ping LCG Regular" w:cstheme="minorHAnsi"/>
          <w:spacing w:val="-1"/>
        </w:rPr>
        <w:t>Ltd</w:t>
      </w:r>
      <w:proofErr w:type="spellEnd"/>
      <w:r w:rsidRPr="00957B71">
        <w:rPr>
          <w:rFonts w:ascii="Ping LCG Regular" w:hAnsi="Ping LCG Regular" w:cstheme="minorHAnsi"/>
          <w:spacing w:val="-1"/>
        </w:rPr>
        <w:t xml:space="preserve">., η </w:t>
      </w:r>
      <w:r w:rsidR="00310358">
        <w:rPr>
          <w:rFonts w:ascii="Ping LCG Regular" w:hAnsi="Ping LCG Regular" w:cstheme="minorHAnsi"/>
          <w:spacing w:val="-1"/>
        </w:rPr>
        <w:t xml:space="preserve">Τράπεζα </w:t>
      </w:r>
      <w:proofErr w:type="spellStart"/>
      <w:r w:rsidRPr="00957B71">
        <w:rPr>
          <w:rFonts w:ascii="Ping LCG Regular" w:hAnsi="Ping LCG Regular" w:cstheme="minorHAnsi"/>
          <w:spacing w:val="-1"/>
        </w:rPr>
        <w:t>Optima</w:t>
      </w:r>
      <w:proofErr w:type="spellEnd"/>
      <w:r w:rsidRPr="00957B71">
        <w:rPr>
          <w:rFonts w:ascii="Ping LCG Regular" w:hAnsi="Ping LCG Regular" w:cstheme="minorHAnsi"/>
          <w:spacing w:val="-1"/>
        </w:rPr>
        <w:t xml:space="preserve"> </w:t>
      </w:r>
      <w:proofErr w:type="spellStart"/>
      <w:r w:rsidRPr="00957B71">
        <w:rPr>
          <w:rFonts w:ascii="Ping LCG Regular" w:hAnsi="Ping LCG Regular" w:cstheme="minorHAnsi"/>
          <w:spacing w:val="-1"/>
        </w:rPr>
        <w:t>bank</w:t>
      </w:r>
      <w:proofErr w:type="spellEnd"/>
      <w:r w:rsidRPr="00957B71">
        <w:rPr>
          <w:rFonts w:ascii="Ping LCG Regular" w:hAnsi="Ping LCG Regular" w:cstheme="minorHAnsi"/>
          <w:spacing w:val="-1"/>
        </w:rPr>
        <w:t xml:space="preserve"> Α.Ε., η </w:t>
      </w:r>
      <w:proofErr w:type="spellStart"/>
      <w:r w:rsidRPr="00957B71">
        <w:rPr>
          <w:rFonts w:ascii="Ping LCG Regular" w:hAnsi="Ping LCG Regular" w:cstheme="minorHAnsi"/>
          <w:spacing w:val="-1"/>
        </w:rPr>
        <w:t>Credia</w:t>
      </w:r>
      <w:proofErr w:type="spellEnd"/>
      <w:r w:rsidRPr="00957B71">
        <w:rPr>
          <w:rFonts w:ascii="Ping LCG Regular" w:hAnsi="Ping LCG Regular" w:cstheme="minorHAnsi"/>
          <w:spacing w:val="-1"/>
        </w:rPr>
        <w:t xml:space="preserve"> Bank Α.Ε., η Παντελάκης Χρηματιστηριακή Α.Ε.Π.Ε.Υ. και η </w:t>
      </w:r>
      <w:proofErr w:type="spellStart"/>
      <w:r w:rsidRPr="00957B71">
        <w:rPr>
          <w:rFonts w:ascii="Ping LCG Regular" w:hAnsi="Ping LCG Regular" w:cstheme="minorHAnsi"/>
          <w:spacing w:val="-1"/>
        </w:rPr>
        <w:t>Ambrosia</w:t>
      </w:r>
      <w:proofErr w:type="spellEnd"/>
      <w:r w:rsidRPr="00957B71">
        <w:rPr>
          <w:rFonts w:ascii="Ping LCG Regular" w:hAnsi="Ping LCG Regular" w:cstheme="minorHAnsi"/>
          <w:spacing w:val="-1"/>
        </w:rPr>
        <w:t xml:space="preserve"> Capital </w:t>
      </w:r>
      <w:proofErr w:type="spellStart"/>
      <w:r w:rsidRPr="00957B71">
        <w:rPr>
          <w:rFonts w:ascii="Ping LCG Regular" w:hAnsi="Ping LCG Regular" w:cstheme="minorHAnsi"/>
          <w:spacing w:val="-1"/>
        </w:rPr>
        <w:t>Hellas</w:t>
      </w:r>
      <w:proofErr w:type="spellEnd"/>
      <w:r w:rsidRPr="00957B71">
        <w:rPr>
          <w:rFonts w:ascii="Ping LCG Regular" w:hAnsi="Ping LCG Regular" w:cstheme="minorHAnsi"/>
          <w:spacing w:val="-1"/>
        </w:rPr>
        <w:t xml:space="preserve"> Μονοπρόσωπη Α.Ε.Π.Ε.Υ. </w:t>
      </w:r>
      <w:r w:rsidR="00F8738A" w:rsidRPr="00957B71">
        <w:rPr>
          <w:rFonts w:ascii="Ping LCG Regular" w:hAnsi="Ping LCG Regular" w:cstheme="minorHAnsi"/>
          <w:spacing w:val="-1"/>
        </w:rPr>
        <w:t>ενήργησαν</w:t>
      </w:r>
      <w:r w:rsidRPr="00957B71">
        <w:rPr>
          <w:rFonts w:ascii="Ping LCG Regular" w:hAnsi="Ping LCG Regular" w:cstheme="minorHAnsi"/>
          <w:spacing w:val="-1"/>
        </w:rPr>
        <w:t xml:space="preserve"> ως Συντονιστές Τοποθέτησης.</w:t>
      </w:r>
    </w:p>
    <w:p w14:paraId="43102427" w14:textId="34E95F0B" w:rsidR="001C5EC8" w:rsidRPr="00957B71" w:rsidRDefault="00EA604D" w:rsidP="00A50D8B">
      <w:pPr>
        <w:pStyle w:val="BodyText"/>
        <w:spacing w:after="120" w:line="259" w:lineRule="auto"/>
        <w:ind w:left="833" w:right="110"/>
        <w:jc w:val="both"/>
        <w:rPr>
          <w:rFonts w:ascii="Ping LCG Regular" w:hAnsi="Ping LCG Regular" w:cstheme="minorHAnsi"/>
          <w:b/>
          <w:bCs/>
          <w:spacing w:val="-1"/>
        </w:rPr>
      </w:pPr>
      <w:r w:rsidRPr="00957B71">
        <w:rPr>
          <w:rFonts w:ascii="Ping LCG Regular" w:hAnsi="Ping LCG Regular" w:cstheme="minorHAnsi"/>
          <w:spacing w:val="-1"/>
        </w:rPr>
        <w:t>Σε σχέση με τη Θεσμική Προσφορά, η</w:t>
      </w:r>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Citigroup</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Global</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Markets</w:t>
      </w:r>
      <w:proofErr w:type="spellEnd"/>
      <w:r w:rsidR="001C5EC8" w:rsidRPr="00957B71">
        <w:rPr>
          <w:rFonts w:ascii="Ping LCG Regular" w:hAnsi="Ping LCG Regular" w:cstheme="minorHAnsi"/>
          <w:spacing w:val="-1"/>
        </w:rPr>
        <w:t xml:space="preserve"> Europe AG, η </w:t>
      </w:r>
      <w:proofErr w:type="spellStart"/>
      <w:r w:rsidR="001C5EC8" w:rsidRPr="00957B71">
        <w:rPr>
          <w:rFonts w:ascii="Ping LCG Regular" w:hAnsi="Ping LCG Regular" w:cstheme="minorHAnsi"/>
          <w:spacing w:val="-1"/>
        </w:rPr>
        <w:t>Goldman</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Sachs</w:t>
      </w:r>
      <w:proofErr w:type="spellEnd"/>
      <w:r w:rsidR="001C5EC8" w:rsidRPr="00957B71">
        <w:rPr>
          <w:rFonts w:ascii="Ping LCG Regular" w:hAnsi="Ping LCG Regular" w:cstheme="minorHAnsi"/>
          <w:spacing w:val="-1"/>
        </w:rPr>
        <w:t xml:space="preserve"> Bank Europe SE και η J.P. </w:t>
      </w:r>
      <w:proofErr w:type="spellStart"/>
      <w:r w:rsidR="001C5EC8" w:rsidRPr="00957B71">
        <w:rPr>
          <w:rFonts w:ascii="Ping LCG Regular" w:hAnsi="Ping LCG Regular" w:cstheme="minorHAnsi"/>
          <w:spacing w:val="-1"/>
        </w:rPr>
        <w:t>Morgan</w:t>
      </w:r>
      <w:proofErr w:type="spellEnd"/>
      <w:r w:rsidR="001C5EC8" w:rsidRPr="00957B71">
        <w:rPr>
          <w:rFonts w:ascii="Ping LCG Regular" w:hAnsi="Ping LCG Regular" w:cstheme="minorHAnsi"/>
          <w:spacing w:val="-1"/>
        </w:rPr>
        <w:t xml:space="preserve"> SE ενήργησαν ως Από Κοινού Παγκόσμιοι Συντονιστές και </w:t>
      </w:r>
      <w:proofErr w:type="spellStart"/>
      <w:r w:rsidR="001C5EC8" w:rsidRPr="00957B71">
        <w:rPr>
          <w:rFonts w:ascii="Ping LCG Regular" w:hAnsi="Ping LCG Regular" w:cstheme="minorHAnsi"/>
          <w:spacing w:val="-1"/>
        </w:rPr>
        <w:t>Aπό</w:t>
      </w:r>
      <w:proofErr w:type="spellEnd"/>
      <w:r w:rsidR="001C5EC8" w:rsidRPr="00957B71">
        <w:rPr>
          <w:rFonts w:ascii="Ping LCG Regular" w:hAnsi="Ping LCG Regular" w:cstheme="minorHAnsi"/>
          <w:spacing w:val="-1"/>
        </w:rPr>
        <w:t xml:space="preserve"> Κοινού Διαχειριστές του Βιβλίου Προσφορών, η </w:t>
      </w:r>
      <w:proofErr w:type="spellStart"/>
      <w:r w:rsidR="001C5EC8" w:rsidRPr="00957B71">
        <w:rPr>
          <w:rFonts w:ascii="Ping LCG Regular" w:hAnsi="Ping LCG Regular" w:cstheme="minorHAnsi"/>
          <w:spacing w:val="-1"/>
        </w:rPr>
        <w:t>BofA</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Securities</w:t>
      </w:r>
      <w:proofErr w:type="spellEnd"/>
      <w:r w:rsidR="001C5EC8" w:rsidRPr="00957B71">
        <w:rPr>
          <w:rFonts w:ascii="Ping LCG Regular" w:hAnsi="Ping LCG Regular" w:cstheme="minorHAnsi"/>
          <w:spacing w:val="-1"/>
        </w:rPr>
        <w:t xml:space="preserve"> Europe SA, η </w:t>
      </w:r>
      <w:proofErr w:type="spellStart"/>
      <w:r w:rsidR="001C5EC8" w:rsidRPr="00957B71">
        <w:rPr>
          <w:rFonts w:ascii="Ping LCG Regular" w:hAnsi="Ping LCG Regular" w:cstheme="minorHAnsi"/>
          <w:spacing w:val="-1"/>
        </w:rPr>
        <w:t>Deutsche</w:t>
      </w:r>
      <w:proofErr w:type="spellEnd"/>
      <w:r w:rsidR="001C5EC8" w:rsidRPr="00957B71">
        <w:rPr>
          <w:rFonts w:ascii="Ping LCG Regular" w:hAnsi="Ping LCG Regular" w:cstheme="minorHAnsi"/>
          <w:spacing w:val="-1"/>
        </w:rPr>
        <w:t xml:space="preserve"> Bank </w:t>
      </w:r>
      <w:proofErr w:type="spellStart"/>
      <w:r w:rsidR="001C5EC8" w:rsidRPr="00957B71">
        <w:rPr>
          <w:rFonts w:ascii="Ping LCG Regular" w:hAnsi="Ping LCG Regular" w:cstheme="minorHAnsi"/>
          <w:spacing w:val="-1"/>
        </w:rPr>
        <w:t>Aktiengesellschaft</w:t>
      </w:r>
      <w:proofErr w:type="spellEnd"/>
      <w:r w:rsidR="001C5EC8" w:rsidRPr="00957B71">
        <w:rPr>
          <w:rFonts w:ascii="Ping LCG Regular" w:hAnsi="Ping LCG Regular" w:cstheme="minorHAnsi"/>
          <w:spacing w:val="-1"/>
        </w:rPr>
        <w:t xml:space="preserve">, η </w:t>
      </w:r>
      <w:proofErr w:type="spellStart"/>
      <w:r w:rsidR="001C5EC8" w:rsidRPr="00957B71">
        <w:rPr>
          <w:rFonts w:ascii="Ping LCG Regular" w:hAnsi="Ping LCG Regular" w:cstheme="minorHAnsi"/>
          <w:spacing w:val="-1"/>
        </w:rPr>
        <w:t>Morgan</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Stanley</w:t>
      </w:r>
      <w:proofErr w:type="spellEnd"/>
      <w:r w:rsidR="001C5EC8" w:rsidRPr="00957B71">
        <w:rPr>
          <w:rFonts w:ascii="Ping LCG Regular" w:hAnsi="Ping LCG Regular" w:cstheme="minorHAnsi"/>
          <w:spacing w:val="-1"/>
        </w:rPr>
        <w:t xml:space="preserve"> Europe SE και η UBS Europe SE ενήργησαν ως Επικεφαλής </w:t>
      </w:r>
      <w:proofErr w:type="spellStart"/>
      <w:r w:rsidR="001C5EC8" w:rsidRPr="00957B71">
        <w:rPr>
          <w:rFonts w:ascii="Ping LCG Regular" w:hAnsi="Ping LCG Regular" w:cstheme="minorHAnsi"/>
          <w:spacing w:val="-1"/>
        </w:rPr>
        <w:t>Aπό</w:t>
      </w:r>
      <w:proofErr w:type="spellEnd"/>
      <w:r w:rsidR="001C5EC8" w:rsidRPr="00957B71">
        <w:rPr>
          <w:rFonts w:ascii="Ping LCG Regular" w:hAnsi="Ping LCG Regular" w:cstheme="minorHAnsi"/>
          <w:spacing w:val="-1"/>
        </w:rPr>
        <w:t xml:space="preserve"> Κοινού Διαχειριστές του Βιβλίου Προσφορών, η </w:t>
      </w:r>
      <w:proofErr w:type="spellStart"/>
      <w:r w:rsidR="001C5EC8" w:rsidRPr="00957B71">
        <w:rPr>
          <w:rFonts w:ascii="Ping LCG Regular" w:hAnsi="Ping LCG Regular" w:cstheme="minorHAnsi"/>
          <w:spacing w:val="-1"/>
        </w:rPr>
        <w:t>Barclays</w:t>
      </w:r>
      <w:proofErr w:type="spellEnd"/>
      <w:r w:rsidR="001C5EC8" w:rsidRPr="00957B71">
        <w:rPr>
          <w:rFonts w:ascii="Ping LCG Regular" w:hAnsi="Ping LCG Regular" w:cstheme="minorHAnsi"/>
          <w:spacing w:val="-1"/>
        </w:rPr>
        <w:t xml:space="preserve"> Bank </w:t>
      </w:r>
      <w:proofErr w:type="spellStart"/>
      <w:r w:rsidR="001C5EC8" w:rsidRPr="00957B71">
        <w:rPr>
          <w:rFonts w:ascii="Ping LCG Regular" w:hAnsi="Ping LCG Regular" w:cstheme="minorHAnsi"/>
          <w:spacing w:val="-1"/>
        </w:rPr>
        <w:t>Ireland</w:t>
      </w:r>
      <w:proofErr w:type="spellEnd"/>
      <w:r w:rsidR="001C5EC8" w:rsidRPr="00957B71">
        <w:rPr>
          <w:rFonts w:ascii="Ping LCG Regular" w:hAnsi="Ping LCG Regular" w:cstheme="minorHAnsi"/>
          <w:spacing w:val="-1"/>
        </w:rPr>
        <w:t xml:space="preserve"> PLC, η BNP PARIBAS, η </w:t>
      </w:r>
      <w:proofErr w:type="spellStart"/>
      <w:r w:rsidR="001C5EC8" w:rsidRPr="00957B71">
        <w:rPr>
          <w:rFonts w:ascii="Ping LCG Regular" w:hAnsi="Ping LCG Regular" w:cstheme="minorHAnsi"/>
          <w:spacing w:val="-1"/>
        </w:rPr>
        <w:t>Jefferies</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GmbH</w:t>
      </w:r>
      <w:proofErr w:type="spellEnd"/>
      <w:r w:rsidR="001C5EC8" w:rsidRPr="00957B71">
        <w:rPr>
          <w:rFonts w:ascii="Ping LCG Regular" w:hAnsi="Ping LCG Regular" w:cstheme="minorHAnsi"/>
          <w:spacing w:val="-1"/>
        </w:rPr>
        <w:t xml:space="preserve">, η </w:t>
      </w:r>
      <w:proofErr w:type="spellStart"/>
      <w:r w:rsidR="001C5EC8" w:rsidRPr="00957B71">
        <w:rPr>
          <w:rFonts w:ascii="Ping LCG Regular" w:hAnsi="Ping LCG Regular" w:cstheme="minorHAnsi"/>
          <w:spacing w:val="-1"/>
        </w:rPr>
        <w:t>Mediobanca</w:t>
      </w:r>
      <w:proofErr w:type="spellEnd"/>
      <w:r w:rsidR="001C5EC8" w:rsidRPr="00957B71">
        <w:rPr>
          <w:rFonts w:ascii="Ping LCG Regular" w:hAnsi="Ping LCG Regular" w:cstheme="minorHAnsi"/>
          <w:spacing w:val="-1"/>
        </w:rPr>
        <w:t xml:space="preserve"> – </w:t>
      </w:r>
      <w:proofErr w:type="spellStart"/>
      <w:r w:rsidR="001C5EC8" w:rsidRPr="00957B71">
        <w:rPr>
          <w:rFonts w:ascii="Ping LCG Regular" w:hAnsi="Ping LCG Regular" w:cstheme="minorHAnsi"/>
          <w:spacing w:val="-1"/>
        </w:rPr>
        <w:t>Banca</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di</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Credito</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Finanziario</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S.p.A</w:t>
      </w:r>
      <w:proofErr w:type="spellEnd"/>
      <w:r w:rsidR="001C5EC8" w:rsidRPr="00957B71">
        <w:rPr>
          <w:rFonts w:ascii="Ping LCG Regular" w:hAnsi="Ping LCG Regular" w:cstheme="minorHAnsi"/>
          <w:spacing w:val="-1"/>
        </w:rPr>
        <w:t xml:space="preserve">., η </w:t>
      </w:r>
      <w:proofErr w:type="spellStart"/>
      <w:r w:rsidR="001C5EC8" w:rsidRPr="00957B71">
        <w:rPr>
          <w:rFonts w:ascii="Ping LCG Regular" w:hAnsi="Ping LCG Regular" w:cstheme="minorHAnsi"/>
          <w:spacing w:val="-1"/>
        </w:rPr>
        <w:t>Société</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Générale</w:t>
      </w:r>
      <w:proofErr w:type="spellEnd"/>
      <w:r w:rsidR="001C5EC8" w:rsidRPr="00957B71">
        <w:rPr>
          <w:rFonts w:ascii="Ping LCG Regular" w:hAnsi="Ping LCG Regular" w:cstheme="minorHAnsi"/>
          <w:spacing w:val="-1"/>
        </w:rPr>
        <w:t xml:space="preserve"> και η </w:t>
      </w:r>
      <w:proofErr w:type="spellStart"/>
      <w:r w:rsidR="001C5EC8" w:rsidRPr="00957B71">
        <w:rPr>
          <w:rFonts w:ascii="Ping LCG Regular" w:hAnsi="Ping LCG Regular" w:cstheme="minorHAnsi"/>
          <w:spacing w:val="-1"/>
        </w:rPr>
        <w:t>UniCredit</w:t>
      </w:r>
      <w:proofErr w:type="spellEnd"/>
      <w:r w:rsidR="001C5EC8" w:rsidRPr="00957B71">
        <w:rPr>
          <w:rFonts w:ascii="Ping LCG Regular" w:hAnsi="Ping LCG Regular" w:cstheme="minorHAnsi"/>
          <w:spacing w:val="-1"/>
        </w:rPr>
        <w:t xml:space="preserve"> Bank </w:t>
      </w:r>
      <w:proofErr w:type="spellStart"/>
      <w:r w:rsidR="001C5EC8" w:rsidRPr="00957B71">
        <w:rPr>
          <w:rFonts w:ascii="Ping LCG Regular" w:hAnsi="Ping LCG Regular" w:cstheme="minorHAnsi"/>
          <w:spacing w:val="-1"/>
        </w:rPr>
        <w:t>GmbH</w:t>
      </w:r>
      <w:proofErr w:type="spellEnd"/>
      <w:r w:rsidR="001C5EC8" w:rsidRPr="00957B71">
        <w:rPr>
          <w:rFonts w:ascii="Ping LCG Regular" w:hAnsi="Ping LCG Regular" w:cstheme="minorHAnsi"/>
          <w:spacing w:val="-1"/>
        </w:rPr>
        <w:t xml:space="preserve">, Υποκατάστημα Μιλάνου, ενήργησαν ως </w:t>
      </w:r>
      <w:proofErr w:type="spellStart"/>
      <w:r w:rsidR="001C5EC8" w:rsidRPr="00957B71">
        <w:rPr>
          <w:rFonts w:ascii="Ping LCG Regular" w:hAnsi="Ping LCG Regular" w:cstheme="minorHAnsi"/>
          <w:spacing w:val="-1"/>
        </w:rPr>
        <w:t>Aπό</w:t>
      </w:r>
      <w:proofErr w:type="spellEnd"/>
      <w:r w:rsidR="001C5EC8" w:rsidRPr="00957B71">
        <w:rPr>
          <w:rFonts w:ascii="Ping LCG Regular" w:hAnsi="Ping LCG Regular" w:cstheme="minorHAnsi"/>
          <w:spacing w:val="-1"/>
        </w:rPr>
        <w:t xml:space="preserve"> Κοινού Διαχειριστές του Βιβλίου Προσφορών, και η Εθνική Τράπεζα της Ελλάδος Α.</w:t>
      </w:r>
      <w:bookmarkStart w:id="0" w:name="_GoBack"/>
      <w:bookmarkEnd w:id="0"/>
      <w:r w:rsidR="001C5EC8" w:rsidRPr="00957B71">
        <w:rPr>
          <w:rFonts w:ascii="Ping LCG Regular" w:hAnsi="Ping LCG Regular" w:cstheme="minorHAnsi"/>
          <w:spacing w:val="-1"/>
        </w:rPr>
        <w:t xml:space="preserve">Ε., η Alpha Bank Α.Ε., η </w:t>
      </w:r>
      <w:proofErr w:type="spellStart"/>
      <w:r w:rsidR="001C5EC8" w:rsidRPr="00957B71">
        <w:rPr>
          <w:rFonts w:ascii="Ping LCG Regular" w:hAnsi="Ping LCG Regular" w:cstheme="minorHAnsi"/>
          <w:spacing w:val="-1"/>
        </w:rPr>
        <w:t>Eurobank</w:t>
      </w:r>
      <w:proofErr w:type="spellEnd"/>
      <w:r w:rsidR="001C5EC8" w:rsidRPr="00957B71">
        <w:rPr>
          <w:rFonts w:ascii="Ping LCG Regular" w:hAnsi="Ping LCG Regular" w:cstheme="minorHAnsi"/>
          <w:spacing w:val="-1"/>
        </w:rPr>
        <w:t xml:space="preserve"> Α.Ε., η Τράπεζα Πειραιώς Α.Ε., η Euroxx Χρηματιστηριακή Α.Ε.Π.Ε.Υ., η AXIA </w:t>
      </w:r>
      <w:proofErr w:type="spellStart"/>
      <w:r w:rsidR="001C5EC8" w:rsidRPr="00957B71">
        <w:rPr>
          <w:rFonts w:ascii="Ping LCG Regular" w:hAnsi="Ping LCG Regular" w:cstheme="minorHAnsi"/>
          <w:spacing w:val="-1"/>
        </w:rPr>
        <w:t>Ventures</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Group</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Ltd</w:t>
      </w:r>
      <w:proofErr w:type="spellEnd"/>
      <w:r w:rsidR="001C5EC8" w:rsidRPr="00957B71">
        <w:rPr>
          <w:rFonts w:ascii="Ping LCG Regular" w:hAnsi="Ping LCG Regular" w:cstheme="minorHAnsi"/>
          <w:spacing w:val="-1"/>
        </w:rPr>
        <w:t xml:space="preserve">., η </w:t>
      </w:r>
      <w:proofErr w:type="spellStart"/>
      <w:r w:rsidR="001C5EC8" w:rsidRPr="00957B71">
        <w:rPr>
          <w:rFonts w:ascii="Ping LCG Regular" w:hAnsi="Ping LCG Regular" w:cstheme="minorHAnsi"/>
          <w:spacing w:val="-1"/>
        </w:rPr>
        <w:t>Optima</w:t>
      </w:r>
      <w:proofErr w:type="spellEnd"/>
      <w:r w:rsidR="001C5EC8" w:rsidRPr="00957B71">
        <w:rPr>
          <w:rFonts w:ascii="Ping LCG Regular" w:hAnsi="Ping LCG Regular" w:cstheme="minorHAnsi"/>
          <w:spacing w:val="-1"/>
        </w:rPr>
        <w:t xml:space="preserve"> </w:t>
      </w:r>
      <w:proofErr w:type="spellStart"/>
      <w:r w:rsidR="001C5EC8" w:rsidRPr="00957B71">
        <w:rPr>
          <w:rFonts w:ascii="Ping LCG Regular" w:hAnsi="Ping LCG Regular" w:cstheme="minorHAnsi"/>
          <w:spacing w:val="-1"/>
        </w:rPr>
        <w:t>bank</w:t>
      </w:r>
      <w:proofErr w:type="spellEnd"/>
      <w:r w:rsidR="001C5EC8" w:rsidRPr="00957B71">
        <w:rPr>
          <w:rFonts w:ascii="Ping LCG Regular" w:hAnsi="Ping LCG Regular" w:cstheme="minorHAnsi"/>
          <w:spacing w:val="-1"/>
        </w:rPr>
        <w:t xml:space="preserve"> Α.Ε., η </w:t>
      </w:r>
      <w:proofErr w:type="spellStart"/>
      <w:r w:rsidR="001C5EC8" w:rsidRPr="00957B71">
        <w:rPr>
          <w:rFonts w:ascii="Ping LCG Regular" w:hAnsi="Ping LCG Regular" w:cstheme="minorHAnsi"/>
          <w:spacing w:val="-1"/>
        </w:rPr>
        <w:t>Credia</w:t>
      </w:r>
      <w:proofErr w:type="spellEnd"/>
      <w:r w:rsidR="001C5EC8" w:rsidRPr="00957B71">
        <w:rPr>
          <w:rFonts w:ascii="Ping LCG Regular" w:hAnsi="Ping LCG Regular" w:cstheme="minorHAnsi"/>
          <w:spacing w:val="-1"/>
        </w:rPr>
        <w:t xml:space="preserve"> Bank Α.Ε., η Παντελάκης Χρηματιστηριακή Α.Ε.Π.Ε.Υ. και η </w:t>
      </w:r>
      <w:proofErr w:type="spellStart"/>
      <w:r w:rsidR="001C5EC8" w:rsidRPr="00957B71">
        <w:rPr>
          <w:rFonts w:ascii="Ping LCG Regular" w:hAnsi="Ping LCG Regular" w:cstheme="minorHAnsi"/>
          <w:spacing w:val="-1"/>
        </w:rPr>
        <w:t>Ambrosia</w:t>
      </w:r>
      <w:proofErr w:type="spellEnd"/>
      <w:r w:rsidR="001C5EC8" w:rsidRPr="00957B71">
        <w:rPr>
          <w:rFonts w:ascii="Ping LCG Regular" w:hAnsi="Ping LCG Regular" w:cstheme="minorHAnsi"/>
          <w:spacing w:val="-1"/>
        </w:rPr>
        <w:t xml:space="preserve"> Capital </w:t>
      </w:r>
      <w:proofErr w:type="spellStart"/>
      <w:r w:rsidR="001C5EC8" w:rsidRPr="00957B71">
        <w:rPr>
          <w:rFonts w:ascii="Ping LCG Regular" w:hAnsi="Ping LCG Regular" w:cstheme="minorHAnsi"/>
          <w:spacing w:val="-1"/>
        </w:rPr>
        <w:t>Hellas</w:t>
      </w:r>
      <w:proofErr w:type="spellEnd"/>
      <w:r w:rsidR="001C5EC8" w:rsidRPr="00957B71">
        <w:rPr>
          <w:rFonts w:ascii="Ping LCG Regular" w:hAnsi="Ping LCG Regular" w:cstheme="minorHAnsi"/>
          <w:spacing w:val="-1"/>
        </w:rPr>
        <w:t xml:space="preserve"> Μονοπρόσωπη Α.Ε.Π.Ε.Υ. </w:t>
      </w:r>
      <w:r w:rsidR="00DF6DCB" w:rsidRPr="00957B71">
        <w:rPr>
          <w:rFonts w:ascii="Ping LCG Regular" w:hAnsi="Ping LCG Regular" w:cstheme="minorHAnsi"/>
          <w:spacing w:val="-1"/>
        </w:rPr>
        <w:t>ενήργησαν</w:t>
      </w:r>
      <w:r w:rsidR="001C5EC8" w:rsidRPr="00957B71">
        <w:rPr>
          <w:rFonts w:ascii="Ping LCG Regular" w:hAnsi="Ping LCG Regular" w:cstheme="minorHAnsi"/>
          <w:spacing w:val="-1"/>
        </w:rPr>
        <w:t xml:space="preserve"> ως </w:t>
      </w:r>
      <w:proofErr w:type="spellStart"/>
      <w:r w:rsidR="001C5EC8" w:rsidRPr="00957B71">
        <w:rPr>
          <w:rFonts w:ascii="Ping LCG Regular" w:hAnsi="Ping LCG Regular" w:cstheme="minorHAnsi"/>
          <w:spacing w:val="-1"/>
        </w:rPr>
        <w:t>Συνδιαχειριστές</w:t>
      </w:r>
      <w:proofErr w:type="spellEnd"/>
      <w:r w:rsidR="001C5EC8" w:rsidRPr="00957B71">
        <w:rPr>
          <w:rFonts w:ascii="Ping LCG Regular" w:hAnsi="Ping LCG Regular" w:cstheme="minorHAnsi"/>
          <w:spacing w:val="-1"/>
        </w:rPr>
        <w:t xml:space="preserve"> </w:t>
      </w:r>
      <w:r w:rsidR="00330613" w:rsidRPr="00957B71">
        <w:rPr>
          <w:rFonts w:ascii="Ping LCG Regular" w:hAnsi="Ping LCG Regular" w:cstheme="minorHAnsi"/>
          <w:spacing w:val="-1"/>
        </w:rPr>
        <w:t>του Βιβλίου Προσφορών</w:t>
      </w:r>
      <w:r w:rsidR="001C5EC8" w:rsidRPr="00957B71">
        <w:rPr>
          <w:rFonts w:ascii="Ping LCG Regular" w:hAnsi="Ping LCG Regular" w:cstheme="minorHAnsi"/>
          <w:spacing w:val="-1"/>
        </w:rPr>
        <w:t>.</w:t>
      </w:r>
    </w:p>
    <w:p w14:paraId="748D78BB" w14:textId="6D006BB5" w:rsidR="007D35B7" w:rsidRPr="00957B71" w:rsidRDefault="00370839" w:rsidP="00370839">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Η </w:t>
      </w:r>
      <w:r w:rsidR="001163CB" w:rsidRPr="00957B71">
        <w:rPr>
          <w:rFonts w:ascii="Ping LCG Regular" w:hAnsi="Ping LCG Regular" w:cstheme="minorHAnsi"/>
          <w:spacing w:val="-1"/>
        </w:rPr>
        <w:t xml:space="preserve">περίοδος της </w:t>
      </w:r>
      <w:r w:rsidR="00EF5E0F" w:rsidRPr="00957B71">
        <w:rPr>
          <w:rFonts w:ascii="Ping LCG Regular" w:hAnsi="Ping LCG Regular" w:cstheme="minorHAnsi"/>
          <w:spacing w:val="-1"/>
        </w:rPr>
        <w:t>Συνδυασμένη</w:t>
      </w:r>
      <w:r w:rsidR="001163CB" w:rsidRPr="00957B71">
        <w:rPr>
          <w:rFonts w:ascii="Ping LCG Regular" w:hAnsi="Ping LCG Regular" w:cstheme="minorHAnsi"/>
          <w:spacing w:val="-1"/>
        </w:rPr>
        <w:t>ς</w:t>
      </w:r>
      <w:r w:rsidR="00EF5E0F" w:rsidRPr="00957B71">
        <w:rPr>
          <w:rFonts w:ascii="Ping LCG Regular" w:hAnsi="Ping LCG Regular" w:cstheme="minorHAnsi"/>
          <w:spacing w:val="-1"/>
        </w:rPr>
        <w:t xml:space="preserve"> </w:t>
      </w:r>
      <w:r w:rsidRPr="00957B71">
        <w:rPr>
          <w:rFonts w:ascii="Ping LCG Regular" w:hAnsi="Ping LCG Regular" w:cstheme="minorHAnsi"/>
          <w:spacing w:val="-1"/>
        </w:rPr>
        <w:t>Προσφορά</w:t>
      </w:r>
      <w:r w:rsidR="001163CB" w:rsidRPr="00957B71">
        <w:rPr>
          <w:rFonts w:ascii="Ping LCG Regular" w:hAnsi="Ping LCG Regular" w:cstheme="minorHAnsi"/>
          <w:spacing w:val="-1"/>
        </w:rPr>
        <w:t>ς</w:t>
      </w:r>
      <w:r w:rsidRPr="00957B71">
        <w:rPr>
          <w:rFonts w:ascii="Ping LCG Regular" w:hAnsi="Ping LCG Regular" w:cstheme="minorHAnsi"/>
          <w:spacing w:val="-1"/>
        </w:rPr>
        <w:t xml:space="preserve"> ολοκληρώθηκε στις </w:t>
      </w:r>
      <w:r w:rsidR="00337334" w:rsidRPr="00957B71">
        <w:rPr>
          <w:rFonts w:ascii="Ping LCG Regular" w:hAnsi="Ping LCG Regular" w:cstheme="minorHAnsi"/>
          <w:spacing w:val="-1"/>
        </w:rPr>
        <w:t>20</w:t>
      </w:r>
      <w:r w:rsidR="00EF5E0F" w:rsidRPr="00957B71">
        <w:rPr>
          <w:rFonts w:ascii="Ping LCG Regular" w:hAnsi="Ping LCG Regular" w:cstheme="minorHAnsi"/>
          <w:spacing w:val="-1"/>
        </w:rPr>
        <w:t xml:space="preserve"> </w:t>
      </w:r>
      <w:r w:rsidR="00C633A9" w:rsidRPr="00957B71">
        <w:rPr>
          <w:rFonts w:ascii="Ping LCG Regular" w:hAnsi="Ping LCG Regular" w:cstheme="minorHAnsi"/>
          <w:spacing w:val="-1"/>
        </w:rPr>
        <w:t xml:space="preserve">Μαΐου </w:t>
      </w:r>
      <w:r w:rsidR="00EF5E0F" w:rsidRPr="00957B71">
        <w:rPr>
          <w:rFonts w:ascii="Ping LCG Regular" w:hAnsi="Ping LCG Regular" w:cstheme="minorHAnsi"/>
          <w:spacing w:val="-1"/>
        </w:rPr>
        <w:t>2026</w:t>
      </w:r>
      <w:r w:rsidRPr="00957B71">
        <w:rPr>
          <w:rFonts w:ascii="Ping LCG Regular" w:hAnsi="Ping LCG Regular" w:cstheme="minorHAnsi"/>
          <w:spacing w:val="-1"/>
        </w:rPr>
        <w:t>.</w:t>
      </w:r>
    </w:p>
    <w:p w14:paraId="68009564" w14:textId="30F704FC" w:rsidR="009400CB" w:rsidRPr="00957B71" w:rsidRDefault="009400CB"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Η συνολική έγκυρη ζήτηση στην Τιμή Διάθεσης που εκδηλώθηκε από επενδυτές που συμμετείχαν στη Συνδυασμένη Προσφορά ανήλθε σε </w:t>
      </w:r>
      <w:r w:rsidR="005D1860" w:rsidRPr="00957B71">
        <w:rPr>
          <w:rFonts w:ascii="Ping LCG Regular" w:hAnsi="Ping LCG Regular"/>
        </w:rPr>
        <w:t>954.</w:t>
      </w:r>
      <w:r w:rsidR="00042875" w:rsidRPr="00957B71">
        <w:rPr>
          <w:rFonts w:ascii="Ping LCG Regular" w:hAnsi="Ping LCG Regular"/>
        </w:rPr>
        <w:t>304</w:t>
      </w:r>
      <w:r w:rsidR="005D1860" w:rsidRPr="00957B71">
        <w:rPr>
          <w:rFonts w:ascii="Ping LCG Regular" w:hAnsi="Ping LCG Regular"/>
        </w:rPr>
        <w:t>.</w:t>
      </w:r>
      <w:r w:rsidR="00042875" w:rsidRPr="00957B71">
        <w:rPr>
          <w:rFonts w:ascii="Ping LCG Regular" w:hAnsi="Ping LCG Regular"/>
        </w:rPr>
        <w:t>188</w:t>
      </w:r>
      <w:r w:rsidR="005D1860" w:rsidRPr="00957B71">
        <w:rPr>
          <w:rFonts w:ascii="Ping LCG Regular" w:hAnsi="Ping LCG Regular" w:cstheme="minorHAnsi"/>
          <w:spacing w:val="-1"/>
        </w:rPr>
        <w:t xml:space="preserve"> </w:t>
      </w:r>
      <w:r w:rsidRPr="00957B71">
        <w:rPr>
          <w:rFonts w:ascii="Ping LCG Regular" w:hAnsi="Ping LCG Regular" w:cstheme="minorHAnsi"/>
          <w:spacing w:val="-1"/>
        </w:rPr>
        <w:t xml:space="preserve">μετοχές, </w:t>
      </w:r>
      <w:r w:rsidR="003100D9" w:rsidRPr="00957B71">
        <w:rPr>
          <w:rFonts w:ascii="Ping LCG Regular" w:hAnsi="Ping LCG Regular" w:cstheme="minorHAnsi"/>
          <w:spacing w:val="-1"/>
        </w:rPr>
        <w:t>που αντιστοιχεί σε</w:t>
      </w:r>
      <w:r w:rsidR="000E281F" w:rsidRPr="00957B71">
        <w:rPr>
          <w:rFonts w:ascii="Ping LCG Regular" w:hAnsi="Ping LCG Regular" w:cstheme="minorHAnsi"/>
          <w:spacing w:val="-1"/>
        </w:rPr>
        <w:t xml:space="preserve"> ποσό </w:t>
      </w:r>
      <w:r w:rsidR="00481B99" w:rsidRPr="00957B71">
        <w:rPr>
          <w:rFonts w:ascii="Ping LCG Regular" w:hAnsi="Ping LCG Regular" w:cstheme="minorHAnsi"/>
          <w:spacing w:val="-1"/>
        </w:rPr>
        <w:t>€</w:t>
      </w:r>
      <w:r w:rsidR="005D1860" w:rsidRPr="00957B71">
        <w:rPr>
          <w:rFonts w:ascii="Ping LCG Regular" w:hAnsi="Ping LCG Regular"/>
          <w:spacing w:val="-1"/>
        </w:rPr>
        <w:t>17,8</w:t>
      </w:r>
      <w:r w:rsidR="00481B99" w:rsidRPr="00957B71">
        <w:rPr>
          <w:rFonts w:ascii="Ping LCG Regular" w:hAnsi="Ping LCG Regular" w:cstheme="minorHAnsi"/>
          <w:spacing w:val="-1"/>
        </w:rPr>
        <w:t xml:space="preserve"> δις</w:t>
      </w:r>
      <w:r w:rsidRPr="00957B71">
        <w:rPr>
          <w:rFonts w:ascii="Ping LCG Regular" w:hAnsi="Ping LCG Regular" w:cstheme="minorHAnsi"/>
          <w:spacing w:val="-1"/>
        </w:rPr>
        <w:t xml:space="preserve">, </w:t>
      </w:r>
      <w:r w:rsidR="00094BDB" w:rsidRPr="00957B71">
        <w:rPr>
          <w:rFonts w:ascii="Ping LCG Regular" w:hAnsi="Ping LCG Regular" w:cstheme="minorHAnsi"/>
          <w:spacing w:val="-1"/>
        </w:rPr>
        <w:t>υπ</w:t>
      </w:r>
      <w:r w:rsidR="0077571F" w:rsidRPr="00957B71">
        <w:rPr>
          <w:rFonts w:ascii="Ping LCG Regular" w:hAnsi="Ping LCG Regular" w:cstheme="minorHAnsi"/>
          <w:spacing w:val="-1"/>
        </w:rPr>
        <w:t>ερ</w:t>
      </w:r>
      <w:r w:rsidR="00F1335C" w:rsidRPr="00957B71">
        <w:rPr>
          <w:rFonts w:ascii="Ping LCG Regular" w:hAnsi="Ping LCG Regular" w:cstheme="minorHAnsi"/>
          <w:spacing w:val="-1"/>
        </w:rPr>
        <w:t>κ</w:t>
      </w:r>
      <w:r w:rsidR="0077571F" w:rsidRPr="00957B71">
        <w:rPr>
          <w:rFonts w:ascii="Ping LCG Regular" w:hAnsi="Ping LCG Regular" w:cstheme="minorHAnsi"/>
          <w:spacing w:val="-1"/>
        </w:rPr>
        <w:t>α</w:t>
      </w:r>
      <w:r w:rsidR="00F1335C" w:rsidRPr="00957B71">
        <w:rPr>
          <w:rFonts w:ascii="Ping LCG Regular" w:hAnsi="Ping LCG Regular" w:cstheme="minorHAnsi"/>
          <w:spacing w:val="-1"/>
        </w:rPr>
        <w:t xml:space="preserve">λύπτοντας </w:t>
      </w:r>
      <w:r w:rsidR="00C915D0" w:rsidRPr="00957B71">
        <w:rPr>
          <w:rFonts w:ascii="Ping LCG Regular" w:hAnsi="Ping LCG Regular" w:cstheme="minorHAnsi"/>
          <w:spacing w:val="-1"/>
        </w:rPr>
        <w:t xml:space="preserve">έτσι </w:t>
      </w:r>
      <w:r w:rsidR="00F1335C" w:rsidRPr="00957B71">
        <w:rPr>
          <w:rFonts w:ascii="Ping LCG Regular" w:hAnsi="Ping LCG Regular" w:cstheme="minorHAnsi"/>
          <w:spacing w:val="-1"/>
        </w:rPr>
        <w:t xml:space="preserve">το </w:t>
      </w:r>
      <w:r w:rsidR="003100D9" w:rsidRPr="00957B71">
        <w:rPr>
          <w:rFonts w:ascii="Ping LCG Regular" w:hAnsi="Ping LCG Regular" w:cstheme="minorHAnsi"/>
          <w:spacing w:val="-1"/>
        </w:rPr>
        <w:t xml:space="preserve">ποσό των περίπου </w:t>
      </w:r>
      <w:r w:rsidR="00C915D0" w:rsidRPr="00957B71">
        <w:rPr>
          <w:rFonts w:ascii="Ping LCG Regular" w:hAnsi="Ping LCG Regular" w:cstheme="minorHAnsi"/>
          <w:spacing w:val="-1"/>
        </w:rPr>
        <w:t xml:space="preserve">€4 δις, το οποίο </w:t>
      </w:r>
      <w:r w:rsidR="00F843EF" w:rsidRPr="00957B71">
        <w:rPr>
          <w:rFonts w:ascii="Ping LCG Regular" w:hAnsi="Ping LCG Regular" w:cstheme="minorHAnsi"/>
          <w:spacing w:val="-1"/>
        </w:rPr>
        <w:t xml:space="preserve">είχε θέσει αρχικώς </w:t>
      </w:r>
      <w:r w:rsidR="00F71683" w:rsidRPr="00957B71">
        <w:rPr>
          <w:rFonts w:ascii="Ping LCG Regular" w:hAnsi="Ping LCG Regular" w:cstheme="minorHAnsi"/>
          <w:spacing w:val="-1"/>
        </w:rPr>
        <w:t xml:space="preserve">ως στόχο </w:t>
      </w:r>
      <w:r w:rsidR="00593FF8" w:rsidRPr="00957B71">
        <w:rPr>
          <w:rFonts w:ascii="Ping LCG Regular" w:hAnsi="Ping LCG Regular" w:cstheme="minorHAnsi"/>
          <w:spacing w:val="-1"/>
        </w:rPr>
        <w:t xml:space="preserve">να αντλήσει </w:t>
      </w:r>
      <w:r w:rsidR="00F71683" w:rsidRPr="00957B71">
        <w:rPr>
          <w:rFonts w:ascii="Ping LCG Regular" w:hAnsi="Ping LCG Regular" w:cstheme="minorHAnsi"/>
          <w:spacing w:val="-1"/>
        </w:rPr>
        <w:t xml:space="preserve">η Εταιρεία </w:t>
      </w:r>
      <w:r w:rsidRPr="00957B71">
        <w:rPr>
          <w:rFonts w:ascii="Ping LCG Regular" w:hAnsi="Ping LCG Regular" w:cstheme="minorHAnsi"/>
          <w:spacing w:val="-1"/>
        </w:rPr>
        <w:t xml:space="preserve">κατά περίπου </w:t>
      </w:r>
      <w:r w:rsidR="005D1860" w:rsidRPr="00957B71">
        <w:rPr>
          <w:rFonts w:ascii="Ping LCG Regular" w:hAnsi="Ping LCG Regular"/>
        </w:rPr>
        <w:t>4,</w:t>
      </w:r>
      <w:r w:rsidR="00576EE2" w:rsidRPr="00957B71">
        <w:rPr>
          <w:rFonts w:ascii="Ping LCG Regular" w:hAnsi="Ping LCG Regular"/>
        </w:rPr>
        <w:t>4</w:t>
      </w:r>
      <w:r w:rsidRPr="00957B71">
        <w:rPr>
          <w:rFonts w:ascii="Ping LCG Regular" w:hAnsi="Ping LCG Regular" w:cstheme="minorHAnsi"/>
          <w:spacing w:val="-1"/>
        </w:rPr>
        <w:t xml:space="preserve"> φορές</w:t>
      </w:r>
      <w:r w:rsidR="00475081" w:rsidRPr="00957B71">
        <w:rPr>
          <w:rFonts w:ascii="Ping LCG Regular" w:hAnsi="Ping LCG Regular" w:cstheme="minorHAnsi"/>
          <w:spacing w:val="-1"/>
        </w:rPr>
        <w:t>.</w:t>
      </w:r>
    </w:p>
    <w:p w14:paraId="7B815025" w14:textId="77777777" w:rsidR="009400CB" w:rsidRPr="00957B71" w:rsidRDefault="009400CB" w:rsidP="009400CB">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Ειδικότερα, λαμβάνοντας υπόψιν μόνο τις έγκυρες εγγραφές της Συνδυασμένης Προσφοράς:</w:t>
      </w:r>
    </w:p>
    <w:p w14:paraId="4F051AE7" w14:textId="7DD1C9FA" w:rsidR="009400CB" w:rsidRPr="00957B71" w:rsidRDefault="009400CB" w:rsidP="009400CB">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 xml:space="preserve">i) η συνολική ζήτηση που εκδηλώθηκε στην Ελληνική Δημόσια Προσφορά ανήλθε σε </w:t>
      </w:r>
      <w:r w:rsidR="00126352" w:rsidRPr="00957B71">
        <w:rPr>
          <w:rFonts w:ascii="Ping LCG Regular" w:hAnsi="Ping LCG Regular" w:cstheme="minorHAnsi"/>
          <w:spacing w:val="-1"/>
        </w:rPr>
        <w:t>58.744.161</w:t>
      </w:r>
      <w:r w:rsidRPr="00957B71">
        <w:rPr>
          <w:rFonts w:ascii="Ping LCG Regular" w:hAnsi="Ping LCG Regular" w:cstheme="minorHAnsi"/>
          <w:spacing w:val="-1"/>
        </w:rPr>
        <w:t xml:space="preserve"> μετοχές</w:t>
      </w:r>
      <w:r w:rsidR="00711C36" w:rsidRPr="00957B71">
        <w:rPr>
          <w:rFonts w:ascii="Ping LCG Regular" w:hAnsi="Ping LCG Regular" w:cstheme="minorHAnsi"/>
          <w:spacing w:val="-1"/>
        </w:rPr>
        <w:t>,</w:t>
      </w:r>
      <w:r w:rsidRPr="00957B71">
        <w:rPr>
          <w:rFonts w:ascii="Ping LCG Regular" w:hAnsi="Ping LCG Regular" w:cstheme="minorHAnsi"/>
          <w:spacing w:val="-1"/>
        </w:rPr>
        <w:t xml:space="preserve">  αντιστοιχεί σε ποσό </w:t>
      </w:r>
      <w:r w:rsidR="00EA789B" w:rsidRPr="00957B71">
        <w:rPr>
          <w:rFonts w:ascii="Ping LCG Regular" w:hAnsi="Ping LCG Regular" w:cstheme="minorHAnsi"/>
          <w:spacing w:val="-1"/>
        </w:rPr>
        <w:t>€1</w:t>
      </w:r>
      <w:r w:rsidR="00A46274" w:rsidRPr="00957B71">
        <w:rPr>
          <w:rFonts w:ascii="Ping LCG Regular" w:hAnsi="Ping LCG Regular" w:cstheme="minorHAnsi"/>
          <w:spacing w:val="-1"/>
        </w:rPr>
        <w:t>.094,4</w:t>
      </w:r>
      <w:r w:rsidR="00EA789B" w:rsidRPr="00957B71">
        <w:rPr>
          <w:rFonts w:ascii="Ping LCG Regular" w:hAnsi="Ping LCG Regular" w:cstheme="minorHAnsi"/>
          <w:spacing w:val="-1"/>
        </w:rPr>
        <w:t xml:space="preserve"> </w:t>
      </w:r>
      <w:r w:rsidRPr="00957B71">
        <w:rPr>
          <w:rFonts w:ascii="Ping LCG Regular" w:hAnsi="Ping LCG Regular" w:cstheme="minorHAnsi"/>
          <w:spacing w:val="-1"/>
        </w:rPr>
        <w:t>εκατ.</w:t>
      </w:r>
      <w:r w:rsidR="00711C36" w:rsidRPr="00957B71">
        <w:rPr>
          <w:rFonts w:ascii="Ping LCG Regular" w:hAnsi="Ping LCG Regular" w:cstheme="minorHAnsi"/>
          <w:spacing w:val="-1"/>
        </w:rPr>
        <w:t xml:space="preserve"> και διαιρείται</w:t>
      </w:r>
      <w:r w:rsidRPr="00957B71">
        <w:rPr>
          <w:rFonts w:ascii="Ping LCG Regular" w:hAnsi="Ping LCG Regular" w:cstheme="minorHAnsi"/>
          <w:spacing w:val="-1"/>
        </w:rPr>
        <w:t xml:space="preserve"> ως εξής:</w:t>
      </w:r>
    </w:p>
    <w:p w14:paraId="2B4814A1" w14:textId="00C4B39C" w:rsidR="009400CB" w:rsidRPr="00957B71" w:rsidRDefault="009400CB" w:rsidP="009400CB">
      <w:pPr>
        <w:pStyle w:val="BodyText"/>
        <w:spacing w:after="120" w:line="259" w:lineRule="auto"/>
        <w:ind w:left="1418" w:right="110"/>
        <w:rPr>
          <w:rFonts w:ascii="Ping LCG Regular" w:hAnsi="Ping LCG Regular" w:cstheme="minorHAnsi"/>
          <w:spacing w:val="-1"/>
        </w:rPr>
      </w:pPr>
      <w:r w:rsidRPr="00957B71">
        <w:rPr>
          <w:rFonts w:ascii="Ping LCG Regular" w:hAnsi="Ping LCG Regular" w:cstheme="minorHAnsi"/>
          <w:spacing w:val="-1"/>
        </w:rPr>
        <w:t xml:space="preserve">α) </w:t>
      </w:r>
      <w:r w:rsidR="00225AB9" w:rsidRPr="00957B71">
        <w:rPr>
          <w:rFonts w:ascii="Ping LCG Regular" w:hAnsi="Ping LCG Regular" w:cstheme="minorHAnsi"/>
          <w:spacing w:val="-1"/>
        </w:rPr>
        <w:t xml:space="preserve">22.660.398 </w:t>
      </w:r>
      <w:r w:rsidRPr="00957B71">
        <w:rPr>
          <w:rFonts w:ascii="Ping LCG Regular" w:hAnsi="Ping LCG Regular" w:cstheme="minorHAnsi"/>
          <w:spacing w:val="-1"/>
        </w:rPr>
        <w:t xml:space="preserve">μετοχές </w:t>
      </w:r>
      <w:r w:rsidR="001D68D5" w:rsidRPr="00957B71">
        <w:rPr>
          <w:rFonts w:ascii="Ping LCG Regular" w:hAnsi="Ping LCG Regular" w:cstheme="minorHAnsi"/>
          <w:spacing w:val="-1"/>
        </w:rPr>
        <w:t>ζητή</w:t>
      </w:r>
      <w:r w:rsidR="00A96A17" w:rsidRPr="00957B71">
        <w:rPr>
          <w:rFonts w:ascii="Ping LCG Regular" w:hAnsi="Ping LCG Regular" w:cstheme="minorHAnsi"/>
          <w:spacing w:val="-1"/>
        </w:rPr>
        <w:t>θηκαν</w:t>
      </w:r>
      <w:r w:rsidRPr="00957B71">
        <w:rPr>
          <w:rFonts w:ascii="Ping LCG Regular" w:hAnsi="Ping LCG Regular" w:cstheme="minorHAnsi"/>
          <w:spacing w:val="-1"/>
        </w:rPr>
        <w:t xml:space="preserve"> από Ιδιώτες Επενδυτές, οι οποίες αντιστοιχούν σε ποσό €</w:t>
      </w:r>
      <w:r w:rsidR="00225AB9" w:rsidRPr="00957B71">
        <w:rPr>
          <w:rFonts w:ascii="Ping LCG Regular" w:hAnsi="Ping LCG Regular" w:cstheme="minorHAnsi"/>
          <w:spacing w:val="-1"/>
        </w:rPr>
        <w:t>422,16</w:t>
      </w:r>
      <w:r w:rsidRPr="00957B71">
        <w:rPr>
          <w:rFonts w:ascii="Ping LCG Regular" w:hAnsi="Ping LCG Regular" w:cstheme="minorHAnsi"/>
          <w:spacing w:val="-1"/>
        </w:rPr>
        <w:t xml:space="preserve"> εκατ. (με βάση την Τιμή Διάθεσης), </w:t>
      </w:r>
    </w:p>
    <w:p w14:paraId="464A84B0" w14:textId="7E56A7C4" w:rsidR="009400CB" w:rsidRPr="00957B71" w:rsidRDefault="009400CB" w:rsidP="009400CB">
      <w:pPr>
        <w:pStyle w:val="BodyText"/>
        <w:spacing w:after="120" w:line="259" w:lineRule="auto"/>
        <w:ind w:left="1418" w:right="110"/>
        <w:rPr>
          <w:rFonts w:ascii="Ping LCG Regular" w:hAnsi="Ping LCG Regular" w:cstheme="minorHAnsi"/>
          <w:spacing w:val="-1"/>
        </w:rPr>
      </w:pPr>
      <w:r w:rsidRPr="00957B71">
        <w:rPr>
          <w:rFonts w:ascii="Ping LCG Regular" w:hAnsi="Ping LCG Regular" w:cstheme="minorHAnsi"/>
          <w:spacing w:val="-1"/>
        </w:rPr>
        <w:t xml:space="preserve">β) </w:t>
      </w:r>
      <w:r w:rsidR="001D6E8F" w:rsidRPr="00957B71">
        <w:rPr>
          <w:rFonts w:ascii="Ping LCG Regular" w:hAnsi="Ping LCG Regular" w:cstheme="minorHAnsi"/>
          <w:spacing w:val="-1"/>
        </w:rPr>
        <w:t>36.083.763</w:t>
      </w:r>
      <w:r w:rsidRPr="00957B71">
        <w:rPr>
          <w:rFonts w:ascii="Ping LCG Regular" w:hAnsi="Ping LCG Regular" w:cstheme="minorHAnsi"/>
          <w:spacing w:val="-1"/>
        </w:rPr>
        <w:t xml:space="preserve"> μετοχές </w:t>
      </w:r>
      <w:r w:rsidR="009F4D20" w:rsidRPr="00957B71">
        <w:rPr>
          <w:rFonts w:ascii="Ping LCG Regular" w:hAnsi="Ping LCG Regular" w:cstheme="minorHAnsi"/>
          <w:spacing w:val="-1"/>
        </w:rPr>
        <w:t>ζητήθηκαν</w:t>
      </w:r>
      <w:r w:rsidRPr="00957B71">
        <w:rPr>
          <w:rFonts w:ascii="Ping LCG Regular" w:hAnsi="Ping LCG Regular" w:cstheme="minorHAnsi"/>
          <w:spacing w:val="-1"/>
        </w:rPr>
        <w:t xml:space="preserve"> από Ειδικούς Επενδυτές, οι οποίες αντιστοιχούν σε ποσό €</w:t>
      </w:r>
      <w:r w:rsidR="00B85A58" w:rsidRPr="00957B71">
        <w:rPr>
          <w:rFonts w:ascii="Ping LCG Regular" w:hAnsi="Ping LCG Regular" w:cstheme="minorHAnsi"/>
          <w:spacing w:val="-1"/>
        </w:rPr>
        <w:t>672,24</w:t>
      </w:r>
      <w:r w:rsidRPr="00957B71">
        <w:rPr>
          <w:rFonts w:ascii="Ping LCG Regular" w:hAnsi="Ping LCG Regular" w:cstheme="minorHAnsi"/>
          <w:spacing w:val="-1"/>
        </w:rPr>
        <w:t xml:space="preserve"> εκατ. (με βάση την Τιμή Διάθεσης),</w:t>
      </w:r>
    </w:p>
    <w:p w14:paraId="7C5D75DC" w14:textId="5C72C716" w:rsidR="005F7122" w:rsidRPr="00957B71" w:rsidRDefault="009400CB" w:rsidP="00C56964">
      <w:pPr>
        <w:pStyle w:val="BodyText"/>
        <w:spacing w:after="120" w:line="259" w:lineRule="auto"/>
        <w:ind w:left="833" w:right="110"/>
        <w:jc w:val="both"/>
        <w:rPr>
          <w:rFonts w:ascii="Ping LCG Regular" w:hAnsi="Ping LCG Regular" w:cstheme="minorHAnsi"/>
          <w:spacing w:val="-1"/>
        </w:rPr>
      </w:pPr>
      <w:proofErr w:type="spellStart"/>
      <w:r w:rsidRPr="00957B71">
        <w:rPr>
          <w:rFonts w:ascii="Ping LCG Regular" w:hAnsi="Ping LCG Regular" w:cstheme="minorHAnsi"/>
          <w:spacing w:val="-1"/>
        </w:rPr>
        <w:t>ii</w:t>
      </w:r>
      <w:proofErr w:type="spellEnd"/>
      <w:r w:rsidRPr="00957B71">
        <w:rPr>
          <w:rFonts w:ascii="Ping LCG Regular" w:hAnsi="Ping LCG Regular" w:cstheme="minorHAnsi"/>
          <w:spacing w:val="-1"/>
        </w:rPr>
        <w:t xml:space="preserve">) Η συνολική ζήτηση που εκδηλώθηκε στην </w:t>
      </w:r>
      <w:r w:rsidR="007B7B01" w:rsidRPr="00957B71">
        <w:rPr>
          <w:rFonts w:ascii="Ping LCG Regular" w:hAnsi="Ping LCG Regular" w:cstheme="minorHAnsi"/>
          <w:spacing w:val="-1"/>
        </w:rPr>
        <w:t xml:space="preserve">Θεσμική </w:t>
      </w:r>
      <w:r w:rsidRPr="00957B71">
        <w:rPr>
          <w:rFonts w:ascii="Ping LCG Regular" w:hAnsi="Ping LCG Regular" w:cstheme="minorHAnsi"/>
          <w:spacing w:val="-1"/>
        </w:rPr>
        <w:t xml:space="preserve">Προσφορά </w:t>
      </w:r>
      <w:r w:rsidR="00092A56" w:rsidRPr="00957B71">
        <w:rPr>
          <w:rFonts w:ascii="Ping LCG Regular" w:hAnsi="Ping LCG Regular" w:cstheme="minorHAnsi"/>
          <w:spacing w:val="-1"/>
        </w:rPr>
        <w:t xml:space="preserve">ανήλθε σε </w:t>
      </w:r>
      <w:r w:rsidR="00CD5D4A" w:rsidRPr="00957B71">
        <w:rPr>
          <w:rFonts w:ascii="Ping LCG Regular" w:hAnsi="Ping LCG Regular" w:cstheme="minorHAnsi"/>
          <w:spacing w:val="-1"/>
        </w:rPr>
        <w:t>895.560.027</w:t>
      </w:r>
      <w:r w:rsidR="00092A56" w:rsidRPr="00957B71">
        <w:rPr>
          <w:rFonts w:ascii="Ping LCG Regular" w:hAnsi="Ping LCG Regular" w:cstheme="minorHAnsi"/>
          <w:spacing w:val="-1"/>
        </w:rPr>
        <w:t xml:space="preserve"> μετοχές και αντιστοιχεί σε ποσό €</w:t>
      </w:r>
      <w:r w:rsidR="00A52015" w:rsidRPr="00957B71">
        <w:rPr>
          <w:rFonts w:ascii="Ping LCG Regular" w:hAnsi="Ping LCG Regular" w:cstheme="minorHAnsi"/>
          <w:spacing w:val="-1"/>
        </w:rPr>
        <w:t>16,7</w:t>
      </w:r>
      <w:r w:rsidR="00092A56" w:rsidRPr="00957B71">
        <w:rPr>
          <w:rFonts w:ascii="Ping LCG Regular" w:hAnsi="Ping LCG Regular" w:cstheme="minorHAnsi"/>
          <w:spacing w:val="-1"/>
        </w:rPr>
        <w:t xml:space="preserve"> </w:t>
      </w:r>
      <w:r w:rsidR="003B60A8" w:rsidRPr="00957B71">
        <w:rPr>
          <w:rFonts w:ascii="Ping LCG Regular" w:hAnsi="Ping LCG Regular" w:cstheme="minorHAnsi"/>
          <w:spacing w:val="-1"/>
        </w:rPr>
        <w:t>δις</w:t>
      </w:r>
      <w:r w:rsidR="006F53B0" w:rsidRPr="00957B71">
        <w:rPr>
          <w:rFonts w:ascii="Ping LCG Regular" w:hAnsi="Ping LCG Regular" w:cstheme="minorHAnsi"/>
          <w:spacing w:val="-1"/>
        </w:rPr>
        <w:t xml:space="preserve"> (με βάση την Τιμή Διάθεσης)</w:t>
      </w:r>
    </w:p>
    <w:p w14:paraId="2D3AE1AA" w14:textId="083CA61D" w:rsidR="009400CB" w:rsidRPr="00957B71" w:rsidRDefault="00FE562C" w:rsidP="002953CA">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Στο πλαίσιο της Θεσμικής Προσφοράς, κατανεμήθηκαν </w:t>
      </w:r>
      <w:r w:rsidR="006955F6" w:rsidRPr="00957B71">
        <w:rPr>
          <w:rFonts w:ascii="Ping LCG Regular" w:hAnsi="Ping LCG Regular" w:cstheme="minorHAnsi"/>
          <w:spacing w:val="-1"/>
        </w:rPr>
        <w:t>(</w:t>
      </w:r>
      <w:proofErr w:type="spellStart"/>
      <w:r w:rsidR="006955F6" w:rsidRPr="00957B71">
        <w:rPr>
          <w:rFonts w:ascii="Ping LCG Regular" w:hAnsi="Ping LCG Regular" w:cstheme="minorHAnsi"/>
          <w:spacing w:val="-1"/>
          <w:lang w:val="en-US"/>
        </w:rPr>
        <w:t>i</w:t>
      </w:r>
      <w:proofErr w:type="spellEnd"/>
      <w:r w:rsidR="006955F6" w:rsidRPr="00957B71">
        <w:rPr>
          <w:rFonts w:ascii="Ping LCG Regular" w:hAnsi="Ping LCG Regular" w:cstheme="minorHAnsi"/>
          <w:spacing w:val="-1"/>
        </w:rPr>
        <w:t xml:space="preserve">) </w:t>
      </w:r>
      <w:r w:rsidR="00DF778A" w:rsidRPr="00957B71">
        <w:rPr>
          <w:rFonts w:ascii="Ping LCG Regular" w:hAnsi="Ping LCG Regular" w:cstheme="minorHAnsi"/>
          <w:spacing w:val="-1"/>
        </w:rPr>
        <w:t>σ</w:t>
      </w:r>
      <w:r w:rsidR="00E03149" w:rsidRPr="00957B71">
        <w:rPr>
          <w:rFonts w:ascii="Ping LCG Regular" w:hAnsi="Ping LCG Regular" w:cstheme="minorHAnsi"/>
          <w:spacing w:val="-1"/>
        </w:rPr>
        <w:t>το Ελληνικό Δημόσιο</w:t>
      </w:r>
      <w:r w:rsidR="00DF778A" w:rsidRPr="00957B71">
        <w:rPr>
          <w:rFonts w:ascii="Ping LCG Regular" w:hAnsi="Ping LCG Regular" w:cstheme="minorHAnsi"/>
          <w:spacing w:val="-1"/>
        </w:rPr>
        <w:t>, νόμιμα εκπροσωπούμενο από τον Υπουργό Εθνικής Οικονομίας και Οικονομικών</w:t>
      </w:r>
      <w:r w:rsidR="006955F6" w:rsidRPr="00957B71">
        <w:rPr>
          <w:rFonts w:ascii="Ping LCG Regular" w:hAnsi="Ping LCG Regular" w:cstheme="minorHAnsi"/>
          <w:spacing w:val="-1"/>
        </w:rPr>
        <w:t xml:space="preserve">, </w:t>
      </w:r>
      <w:r w:rsidR="00576BC8" w:rsidRPr="00957B71">
        <w:rPr>
          <w:rFonts w:ascii="Ping LCG Regular" w:hAnsi="Ping LCG Regular" w:cstheme="minorHAnsi"/>
          <w:spacing w:val="-1"/>
        </w:rPr>
        <w:t>69.180</w:t>
      </w:r>
      <w:r w:rsidR="000874F7" w:rsidRPr="00957B71">
        <w:rPr>
          <w:rFonts w:ascii="Ping LCG Regular" w:hAnsi="Ping LCG Regular" w:cstheme="minorHAnsi"/>
          <w:spacing w:val="-1"/>
        </w:rPr>
        <w:t>.631</w:t>
      </w:r>
      <w:r w:rsidR="006955F6" w:rsidRPr="00957B71">
        <w:rPr>
          <w:rFonts w:ascii="Ping LCG Regular" w:hAnsi="Ping LCG Regular" w:cstheme="minorHAnsi"/>
          <w:spacing w:val="-1"/>
        </w:rPr>
        <w:t xml:space="preserve"> Νέες Μετοχές,</w:t>
      </w:r>
      <w:r w:rsidR="00BA27F7" w:rsidRPr="00957B71">
        <w:rPr>
          <w:rFonts w:ascii="Ping LCG Regular" w:hAnsi="Ping LCG Regular" w:cstheme="minorHAnsi"/>
          <w:spacing w:val="-1"/>
        </w:rPr>
        <w:t xml:space="preserve"> οι οποίες αντιστοιχούν σε </w:t>
      </w:r>
      <w:r w:rsidR="001930A3" w:rsidRPr="00957B71">
        <w:rPr>
          <w:rFonts w:ascii="Ping LCG Regular" w:hAnsi="Ping LCG Regular" w:cstheme="minorHAnsi"/>
          <w:spacing w:val="-1"/>
        </w:rPr>
        <w:t>περίπου</w:t>
      </w:r>
      <w:r w:rsidR="00BA27F7" w:rsidRPr="00957B71">
        <w:rPr>
          <w:rFonts w:ascii="Ping LCG Regular" w:hAnsi="Ping LCG Regular" w:cstheme="minorHAnsi"/>
          <w:spacing w:val="-1"/>
        </w:rPr>
        <w:t xml:space="preserve"> </w:t>
      </w:r>
      <w:r w:rsidR="001930A3" w:rsidRPr="00957B71">
        <w:rPr>
          <w:rFonts w:ascii="Ping LCG Regular" w:hAnsi="Ping LCG Regular" w:cstheme="minorHAnsi"/>
          <w:spacing w:val="-1"/>
        </w:rPr>
        <w:t>30,</w:t>
      </w:r>
      <w:r w:rsidR="004109AE" w:rsidRPr="00957B71">
        <w:rPr>
          <w:rFonts w:ascii="Ping LCG Regular" w:hAnsi="Ping LCG Regular" w:cstheme="minorHAnsi"/>
          <w:spacing w:val="-1"/>
        </w:rPr>
        <w:t>33</w:t>
      </w:r>
      <w:r w:rsidR="00BA27F7" w:rsidRPr="00957B71">
        <w:rPr>
          <w:rFonts w:ascii="Ping LCG Regular" w:hAnsi="Ping LCG Regular" w:cstheme="minorHAnsi"/>
          <w:spacing w:val="-1"/>
        </w:rPr>
        <w:t>% των Νέων Μετοχών,</w:t>
      </w:r>
      <w:r w:rsidR="00A1142A" w:rsidRPr="00957B71">
        <w:rPr>
          <w:rFonts w:ascii="Ping LCG Regular" w:hAnsi="Ping LCG Regular" w:cstheme="minorHAnsi"/>
          <w:spacing w:val="-1"/>
        </w:rPr>
        <w:t xml:space="preserve"> στην Τιμή Διάθεσης</w:t>
      </w:r>
      <w:r w:rsidR="006955F6" w:rsidRPr="00957B71">
        <w:rPr>
          <w:rFonts w:ascii="Ping LCG Regular" w:hAnsi="Ping LCG Regular" w:cstheme="minorHAnsi"/>
          <w:spacing w:val="-1"/>
        </w:rPr>
        <w:t xml:space="preserve"> και </w:t>
      </w:r>
      <w:r w:rsidR="001002D5" w:rsidRPr="00957B71">
        <w:rPr>
          <w:rFonts w:ascii="Ping LCG Regular" w:hAnsi="Ping LCG Regular" w:cstheme="minorHAnsi"/>
          <w:spacing w:val="-1"/>
        </w:rPr>
        <w:t>(</w:t>
      </w:r>
      <w:r w:rsidR="001002D5" w:rsidRPr="00957B71">
        <w:rPr>
          <w:rFonts w:ascii="Ping LCG Regular" w:hAnsi="Ping LCG Regular" w:cstheme="minorHAnsi"/>
          <w:spacing w:val="-1"/>
          <w:lang w:val="en-US"/>
        </w:rPr>
        <w:t>ii</w:t>
      </w:r>
      <w:r w:rsidR="001002D5" w:rsidRPr="00957B71">
        <w:rPr>
          <w:rFonts w:ascii="Ping LCG Regular" w:hAnsi="Ping LCG Regular" w:cstheme="minorHAnsi"/>
          <w:spacing w:val="-1"/>
        </w:rPr>
        <w:t>)</w:t>
      </w:r>
      <w:r w:rsidR="00DF778A" w:rsidRPr="00957B71">
        <w:rPr>
          <w:rFonts w:ascii="Ping LCG Regular" w:hAnsi="Ping LCG Regular" w:cstheme="minorHAnsi"/>
          <w:spacing w:val="-1"/>
        </w:rPr>
        <w:t xml:space="preserve"> </w:t>
      </w:r>
      <w:r w:rsidR="00F16BD2" w:rsidRPr="00957B71">
        <w:rPr>
          <w:rFonts w:ascii="Ping LCG Regular" w:hAnsi="Ping LCG Regular" w:cstheme="minorHAnsi"/>
          <w:spacing w:val="-1"/>
        </w:rPr>
        <w:t>σ</w:t>
      </w:r>
      <w:r w:rsidR="00AC5477" w:rsidRPr="00957B71">
        <w:rPr>
          <w:rFonts w:ascii="Ping LCG Regular" w:hAnsi="Ping LCG Regular" w:cstheme="minorHAnsi"/>
          <w:spacing w:val="-1"/>
        </w:rPr>
        <w:t xml:space="preserve">την </w:t>
      </w:r>
      <w:proofErr w:type="spellStart"/>
      <w:r w:rsidR="00E42674" w:rsidRPr="00957B71">
        <w:rPr>
          <w:rFonts w:ascii="Ping LCG Regular" w:hAnsi="Ping LCG Regular"/>
        </w:rPr>
        <w:t>Aeolus</w:t>
      </w:r>
      <w:proofErr w:type="spellEnd"/>
      <w:r w:rsidR="00E42674" w:rsidRPr="00957B71">
        <w:rPr>
          <w:rFonts w:ascii="Ping LCG Regular" w:hAnsi="Ping LCG Regular"/>
        </w:rPr>
        <w:t xml:space="preserve"> Holdings </w:t>
      </w:r>
      <w:proofErr w:type="spellStart"/>
      <w:r w:rsidR="00E42674" w:rsidRPr="00957B71">
        <w:rPr>
          <w:rFonts w:ascii="Ping LCG Regular" w:hAnsi="Ping LCG Regular"/>
        </w:rPr>
        <w:t>S.à</w:t>
      </w:r>
      <w:proofErr w:type="spellEnd"/>
      <w:r w:rsidR="00E42674" w:rsidRPr="00957B71">
        <w:rPr>
          <w:rFonts w:ascii="Ping LCG Regular" w:hAnsi="Ping LCG Regular"/>
        </w:rPr>
        <w:t xml:space="preserve"> </w:t>
      </w:r>
      <w:proofErr w:type="spellStart"/>
      <w:r w:rsidR="00E42674" w:rsidRPr="00957B71">
        <w:rPr>
          <w:rFonts w:ascii="Ping LCG Regular" w:hAnsi="Ping LCG Regular"/>
        </w:rPr>
        <w:t>r.l</w:t>
      </w:r>
      <w:proofErr w:type="spellEnd"/>
      <w:r w:rsidR="00E42674" w:rsidRPr="00957B71">
        <w:rPr>
          <w:rFonts w:ascii="Ping LCG Regular" w:hAnsi="Ping LCG Regular"/>
        </w:rPr>
        <w:t xml:space="preserve">., </w:t>
      </w:r>
      <w:r w:rsidR="00E42674" w:rsidRPr="00957B71">
        <w:rPr>
          <w:rFonts w:ascii="Ping LCG Regular" w:hAnsi="Ping LCG Regular"/>
          <w:lang w:val="en-US"/>
        </w:rPr>
        <w:t>o</w:t>
      </w:r>
      <w:proofErr w:type="spellStart"/>
      <w:r w:rsidR="00E42674" w:rsidRPr="00957B71">
        <w:rPr>
          <w:rFonts w:ascii="Ping LCG Regular" w:hAnsi="Ping LCG Regular"/>
        </w:rPr>
        <w:t>ντότητα</w:t>
      </w:r>
      <w:proofErr w:type="spellEnd"/>
      <w:r w:rsidR="00E42674" w:rsidRPr="00957B71">
        <w:rPr>
          <w:rFonts w:ascii="Ping LCG Regular" w:hAnsi="Ping LCG Regular"/>
        </w:rPr>
        <w:t xml:space="preserve"> που ανήκει σε κεφάλαια (</w:t>
      </w:r>
      <w:proofErr w:type="spellStart"/>
      <w:r w:rsidR="00E42674" w:rsidRPr="00957B71">
        <w:rPr>
          <w:rFonts w:ascii="Ping LCG Regular" w:hAnsi="Ping LCG Regular"/>
        </w:rPr>
        <w:t>funds</w:t>
      </w:r>
      <w:proofErr w:type="spellEnd"/>
      <w:r w:rsidR="00E42674" w:rsidRPr="00957B71">
        <w:rPr>
          <w:rFonts w:ascii="Ping LCG Regular" w:hAnsi="Ping LCG Regular"/>
        </w:rPr>
        <w:t xml:space="preserve">) τα οποία συμβουλεύει η CVC </w:t>
      </w:r>
      <w:proofErr w:type="spellStart"/>
      <w:r w:rsidR="00E42674" w:rsidRPr="00957B71">
        <w:rPr>
          <w:rFonts w:ascii="Ping LCG Regular" w:hAnsi="Ping LCG Regular"/>
        </w:rPr>
        <w:t>Advisers</w:t>
      </w:r>
      <w:proofErr w:type="spellEnd"/>
      <w:r w:rsidR="00E42674" w:rsidRPr="00957B71">
        <w:rPr>
          <w:rFonts w:ascii="Ping LCG Regular" w:hAnsi="Ping LCG Regular"/>
        </w:rPr>
        <w:t xml:space="preserve"> </w:t>
      </w:r>
      <w:proofErr w:type="spellStart"/>
      <w:r w:rsidR="00E42674" w:rsidRPr="00957B71">
        <w:rPr>
          <w:rFonts w:ascii="Ping LCG Regular" w:hAnsi="Ping LCG Regular"/>
        </w:rPr>
        <w:t>Greece</w:t>
      </w:r>
      <w:proofErr w:type="spellEnd"/>
      <w:r w:rsidR="00E42674" w:rsidRPr="00957B71">
        <w:rPr>
          <w:rFonts w:ascii="Ping LCG Regular" w:hAnsi="Ping LCG Regular"/>
        </w:rPr>
        <w:t xml:space="preserve"> Μ.Α.Ε. και/ή συνδεδεμένες με αυτήν οντότητες</w:t>
      </w:r>
      <w:r w:rsidR="001002D5" w:rsidRPr="00957B71">
        <w:rPr>
          <w:rFonts w:ascii="Ping LCG Regular" w:hAnsi="Ping LCG Regular"/>
        </w:rPr>
        <w:t xml:space="preserve">, κατανεμήθηκαν </w:t>
      </w:r>
      <w:r w:rsidR="00C06E85" w:rsidRPr="00957B71">
        <w:rPr>
          <w:rFonts w:ascii="Ping LCG Regular" w:hAnsi="Ping LCG Regular" w:cstheme="minorHAnsi"/>
          <w:spacing w:val="-1"/>
        </w:rPr>
        <w:t>64.412</w:t>
      </w:r>
      <w:r w:rsidR="00615431" w:rsidRPr="00957B71">
        <w:rPr>
          <w:rFonts w:ascii="Ping LCG Regular" w:hAnsi="Ping LCG Regular" w:cstheme="minorHAnsi"/>
          <w:spacing w:val="-1"/>
        </w:rPr>
        <w:t>.238</w:t>
      </w:r>
      <w:r w:rsidR="008415A8" w:rsidRPr="00957B71">
        <w:rPr>
          <w:rFonts w:ascii="Ping LCG Regular" w:hAnsi="Ping LCG Regular" w:cstheme="minorHAnsi"/>
          <w:spacing w:val="-1"/>
        </w:rPr>
        <w:t xml:space="preserve"> Νέες Μετοχές, οι οποίες αντιστοιχούν σε </w:t>
      </w:r>
      <w:r w:rsidR="00615431" w:rsidRPr="00957B71">
        <w:rPr>
          <w:rFonts w:ascii="Ping LCG Regular" w:hAnsi="Ping LCG Regular" w:cstheme="minorHAnsi"/>
          <w:spacing w:val="-1"/>
        </w:rPr>
        <w:t xml:space="preserve">περίπου </w:t>
      </w:r>
      <w:r w:rsidR="009B5398" w:rsidRPr="00957B71">
        <w:rPr>
          <w:rFonts w:ascii="Ping LCG Regular" w:hAnsi="Ping LCG Regular" w:cstheme="minorHAnsi"/>
          <w:spacing w:val="-1"/>
        </w:rPr>
        <w:t>28</w:t>
      </w:r>
      <w:proofErr w:type="gramStart"/>
      <w:r w:rsidR="009B5398" w:rsidRPr="00957B71">
        <w:rPr>
          <w:rFonts w:ascii="Ping LCG Regular" w:hAnsi="Ping LCG Regular" w:cstheme="minorHAnsi"/>
          <w:spacing w:val="-1"/>
        </w:rPr>
        <w:t>,24</w:t>
      </w:r>
      <w:proofErr w:type="gramEnd"/>
      <w:r w:rsidR="008415A8" w:rsidRPr="00957B71">
        <w:rPr>
          <w:rFonts w:ascii="Ping LCG Regular" w:hAnsi="Ping LCG Regular" w:cstheme="minorHAnsi"/>
          <w:spacing w:val="-1"/>
        </w:rPr>
        <w:t>% των Νέων Μετοχών</w:t>
      </w:r>
      <w:r w:rsidR="00FA5889" w:rsidRPr="00957B71">
        <w:rPr>
          <w:rFonts w:ascii="Ping LCG Regular" w:hAnsi="Ping LCG Regular" w:cstheme="minorHAnsi"/>
          <w:spacing w:val="-1"/>
        </w:rPr>
        <w:t>, στην Τιμή Διάθεσης</w:t>
      </w:r>
      <w:r w:rsidR="00E42674" w:rsidRPr="00957B71">
        <w:rPr>
          <w:rFonts w:ascii="Ping LCG Regular" w:hAnsi="Ping LCG Regular" w:cstheme="minorHAnsi"/>
          <w:spacing w:val="-1"/>
        </w:rPr>
        <w:t xml:space="preserve"> </w:t>
      </w:r>
      <w:r w:rsidR="00632E0C" w:rsidRPr="00957B71">
        <w:rPr>
          <w:rFonts w:ascii="Ping LCG Regular" w:hAnsi="Ping LCG Regular" w:cstheme="minorHAnsi"/>
          <w:spacing w:val="-1"/>
        </w:rPr>
        <w:t>(</w:t>
      </w:r>
      <w:r w:rsidR="0068593C" w:rsidRPr="00957B71">
        <w:rPr>
          <w:rFonts w:ascii="Ping LCG Regular" w:hAnsi="Ping LCG Regular" w:cstheme="minorHAnsi"/>
          <w:spacing w:val="-1"/>
        </w:rPr>
        <w:t xml:space="preserve">από κοινού, </w:t>
      </w:r>
      <w:r w:rsidR="00632E0C" w:rsidRPr="00957B71">
        <w:rPr>
          <w:rFonts w:ascii="Ping LCG Regular" w:hAnsi="Ping LCG Regular" w:cstheme="minorHAnsi"/>
          <w:spacing w:val="-1"/>
        </w:rPr>
        <w:t xml:space="preserve">οι </w:t>
      </w:r>
      <w:r w:rsidR="00037D3B" w:rsidRPr="00957B71">
        <w:rPr>
          <w:rFonts w:ascii="Ping LCG Regular" w:hAnsi="Ping LCG Regular" w:cstheme="minorHAnsi"/>
          <w:spacing w:val="-1"/>
        </w:rPr>
        <w:t>«</w:t>
      </w:r>
      <w:r w:rsidR="00037D3B" w:rsidRPr="00957B71">
        <w:rPr>
          <w:rFonts w:ascii="Ping LCG Regular" w:hAnsi="Ping LCG Regular" w:cstheme="minorHAnsi"/>
          <w:b/>
          <w:bCs/>
          <w:spacing w:val="-1"/>
        </w:rPr>
        <w:t xml:space="preserve">Νέες Μετοχές </w:t>
      </w:r>
      <w:r w:rsidR="00037D3B" w:rsidRPr="00957B71">
        <w:rPr>
          <w:rFonts w:ascii="Ping LCG Regular" w:hAnsi="Ping LCG Regular" w:cstheme="minorHAnsi"/>
          <w:b/>
          <w:bCs/>
          <w:spacing w:val="-1"/>
          <w:lang w:val="en-US"/>
        </w:rPr>
        <w:t>Cornerstone</w:t>
      </w:r>
      <w:r w:rsidR="00037D3B" w:rsidRPr="00957B71">
        <w:rPr>
          <w:rFonts w:ascii="Ping LCG Regular" w:hAnsi="Ping LCG Regular" w:cstheme="minorHAnsi"/>
          <w:spacing w:val="-1"/>
        </w:rPr>
        <w:t>»</w:t>
      </w:r>
      <w:r w:rsidR="008C7588" w:rsidRPr="00957B71">
        <w:rPr>
          <w:rFonts w:ascii="Ping LCG Regular" w:hAnsi="Ping LCG Regular" w:cstheme="minorHAnsi"/>
          <w:spacing w:val="-1"/>
        </w:rPr>
        <w:t xml:space="preserve">, και οι Νέες Μετοχές που </w:t>
      </w:r>
      <w:r w:rsidR="0068593C" w:rsidRPr="00957B71">
        <w:rPr>
          <w:rFonts w:ascii="Ping LCG Regular" w:hAnsi="Ping LCG Regular" w:cstheme="minorHAnsi"/>
          <w:spacing w:val="-1"/>
        </w:rPr>
        <w:t xml:space="preserve">προσφέρθηκαν </w:t>
      </w:r>
      <w:r w:rsidR="008C7588" w:rsidRPr="00957B71">
        <w:rPr>
          <w:rFonts w:ascii="Ping LCG Regular" w:hAnsi="Ping LCG Regular" w:cstheme="minorHAnsi"/>
          <w:spacing w:val="-1"/>
        </w:rPr>
        <w:t>μέσω της Συνδυασμένης Προσφοράς</w:t>
      </w:r>
      <w:r w:rsidR="003D26D7" w:rsidRPr="00957B71">
        <w:rPr>
          <w:rFonts w:ascii="Ping LCG Regular" w:hAnsi="Ping LCG Regular" w:cstheme="minorHAnsi"/>
          <w:spacing w:val="-1"/>
        </w:rPr>
        <w:t xml:space="preserve">, μετά την αφαίρεση των Νέων Μετοχών </w:t>
      </w:r>
      <w:r w:rsidR="003D26D7" w:rsidRPr="00957B71">
        <w:rPr>
          <w:rFonts w:ascii="Ping LCG Regular" w:hAnsi="Ping LCG Regular" w:cstheme="minorHAnsi"/>
          <w:spacing w:val="-1"/>
          <w:lang w:val="en-US"/>
        </w:rPr>
        <w:t>Cornerstone</w:t>
      </w:r>
      <w:r w:rsidR="00AD3FA3" w:rsidRPr="00957B71">
        <w:rPr>
          <w:rFonts w:ascii="Ping LCG Regular" w:hAnsi="Ping LCG Regular" w:cstheme="minorHAnsi"/>
          <w:spacing w:val="-1"/>
        </w:rPr>
        <w:t>, οι «</w:t>
      </w:r>
      <w:r w:rsidR="00AD3FA3" w:rsidRPr="00957B71">
        <w:rPr>
          <w:rFonts w:ascii="Ping LCG Regular" w:hAnsi="Ping LCG Regular" w:cstheme="minorHAnsi"/>
          <w:b/>
          <w:bCs/>
          <w:spacing w:val="-1"/>
        </w:rPr>
        <w:t>Νέες Μετοχές Συνδυασμένης Προσφοράς</w:t>
      </w:r>
      <w:r w:rsidR="00AD3FA3" w:rsidRPr="00957B71">
        <w:rPr>
          <w:rFonts w:ascii="Ping LCG Regular" w:hAnsi="Ping LCG Regular" w:cstheme="minorHAnsi"/>
          <w:spacing w:val="-1"/>
        </w:rPr>
        <w:t>»</w:t>
      </w:r>
      <w:r w:rsidR="00E42674" w:rsidRPr="00957B71">
        <w:rPr>
          <w:rFonts w:ascii="Ping LCG Regular" w:hAnsi="Ping LCG Regular" w:cstheme="minorHAnsi"/>
          <w:spacing w:val="-1"/>
        </w:rPr>
        <w:t>)</w:t>
      </w:r>
      <w:r w:rsidR="009400CB" w:rsidRPr="00957B71">
        <w:rPr>
          <w:rFonts w:ascii="Ping LCG Regular" w:hAnsi="Ping LCG Regular" w:cstheme="minorHAnsi"/>
          <w:spacing w:val="-1"/>
        </w:rPr>
        <w:t>.</w:t>
      </w:r>
    </w:p>
    <w:p w14:paraId="3FE87259" w14:textId="086B7566" w:rsidR="009400CB" w:rsidRPr="00957B71" w:rsidRDefault="009400CB"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Οι </w:t>
      </w:r>
      <w:r w:rsidR="007B7444" w:rsidRPr="00957B71">
        <w:rPr>
          <w:rFonts w:ascii="Ping LCG Regular" w:hAnsi="Ping LCG Regular" w:cstheme="minorHAnsi"/>
          <w:spacing w:val="-1"/>
        </w:rPr>
        <w:t>94</w:t>
      </w:r>
      <w:r w:rsidR="00F93E52" w:rsidRPr="00957B71">
        <w:rPr>
          <w:rFonts w:ascii="Ping LCG Regular" w:hAnsi="Ping LCG Regular" w:cstheme="minorHAnsi"/>
          <w:spacing w:val="-1"/>
        </w:rPr>
        <w:t>.</w:t>
      </w:r>
      <w:r w:rsidR="007B7444" w:rsidRPr="00957B71">
        <w:rPr>
          <w:rFonts w:ascii="Ping LCG Regular" w:hAnsi="Ping LCG Regular" w:cstheme="minorHAnsi"/>
          <w:spacing w:val="-1"/>
        </w:rPr>
        <w:t>533</w:t>
      </w:r>
      <w:r w:rsidR="00F93E52" w:rsidRPr="00957B71">
        <w:rPr>
          <w:rFonts w:ascii="Ping LCG Regular" w:hAnsi="Ping LCG Regular" w:cstheme="minorHAnsi"/>
          <w:spacing w:val="-1"/>
        </w:rPr>
        <w:t>.</w:t>
      </w:r>
      <w:r w:rsidR="007B7444" w:rsidRPr="00957B71">
        <w:rPr>
          <w:rFonts w:ascii="Ping LCG Regular" w:hAnsi="Ping LCG Regular" w:cstheme="minorHAnsi"/>
          <w:spacing w:val="-1"/>
        </w:rPr>
        <w:t xml:space="preserve">808 </w:t>
      </w:r>
      <w:r w:rsidRPr="00957B71">
        <w:rPr>
          <w:rFonts w:ascii="Ping LCG Regular" w:hAnsi="Ping LCG Regular" w:cstheme="minorHAnsi"/>
          <w:spacing w:val="-1"/>
        </w:rPr>
        <w:t xml:space="preserve">Νέες Μετοχές </w:t>
      </w:r>
      <w:r w:rsidR="00AD3FA3" w:rsidRPr="00957B71">
        <w:rPr>
          <w:rFonts w:ascii="Ping LCG Regular" w:hAnsi="Ping LCG Regular" w:cstheme="minorHAnsi"/>
          <w:spacing w:val="-1"/>
        </w:rPr>
        <w:t xml:space="preserve">Συνδυασμένης Προσφοράς </w:t>
      </w:r>
      <w:r w:rsidRPr="00957B71">
        <w:rPr>
          <w:rFonts w:ascii="Ping LCG Regular" w:hAnsi="Ping LCG Regular" w:cstheme="minorHAnsi"/>
          <w:spacing w:val="-1"/>
        </w:rPr>
        <w:t xml:space="preserve">κατανεμήθηκαν </w:t>
      </w:r>
      <w:r w:rsidR="00A776A9" w:rsidRPr="00957B71">
        <w:rPr>
          <w:rFonts w:ascii="Ping LCG Regular" w:hAnsi="Ping LCG Regular" w:cstheme="minorHAnsi"/>
          <w:spacing w:val="-1"/>
        </w:rPr>
        <w:t xml:space="preserve">τελικώς </w:t>
      </w:r>
      <w:r w:rsidRPr="00957B71">
        <w:rPr>
          <w:rFonts w:ascii="Ping LCG Regular" w:hAnsi="Ping LCG Regular" w:cstheme="minorHAnsi"/>
          <w:spacing w:val="-1"/>
        </w:rPr>
        <w:t xml:space="preserve">μεταξύ της Ελληνικής Δημόσιας Προσφοράς και της </w:t>
      </w:r>
      <w:r w:rsidR="007B7B01" w:rsidRPr="00957B71">
        <w:rPr>
          <w:rFonts w:ascii="Ping LCG Regular" w:hAnsi="Ping LCG Regular" w:cstheme="minorHAnsi"/>
          <w:spacing w:val="-1"/>
        </w:rPr>
        <w:t xml:space="preserve">Θεσμικής </w:t>
      </w:r>
      <w:r w:rsidRPr="00957B71">
        <w:rPr>
          <w:rFonts w:ascii="Ping LCG Regular" w:hAnsi="Ping LCG Regular" w:cstheme="minorHAnsi"/>
          <w:spacing w:val="-1"/>
        </w:rPr>
        <w:t>Προσφοράς ως εξής:</w:t>
      </w:r>
    </w:p>
    <w:p w14:paraId="68BF3225" w14:textId="483F0BB6" w:rsidR="009400CB" w:rsidRPr="00957B71" w:rsidRDefault="009400CB" w:rsidP="009400CB">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 xml:space="preserve">(i) </w:t>
      </w:r>
      <w:r w:rsidR="007C67A2" w:rsidRPr="00957B71">
        <w:rPr>
          <w:rFonts w:ascii="Ping LCG Regular" w:hAnsi="Ping LCG Regular" w:cstheme="minorHAnsi"/>
          <w:spacing w:val="-1"/>
        </w:rPr>
        <w:t>16</w:t>
      </w:r>
      <w:r w:rsidR="00F93E52" w:rsidRPr="00957B71">
        <w:rPr>
          <w:rFonts w:ascii="Ping LCG Regular" w:hAnsi="Ping LCG Regular" w:cstheme="minorHAnsi"/>
          <w:spacing w:val="-1"/>
        </w:rPr>
        <w:t>.</w:t>
      </w:r>
      <w:r w:rsidR="007C67A2" w:rsidRPr="00957B71">
        <w:rPr>
          <w:rFonts w:ascii="Ping LCG Regular" w:hAnsi="Ping LCG Regular" w:cstheme="minorHAnsi"/>
          <w:spacing w:val="-1"/>
        </w:rPr>
        <w:t>327</w:t>
      </w:r>
      <w:r w:rsidR="00F93E52" w:rsidRPr="00957B71">
        <w:rPr>
          <w:rFonts w:ascii="Ping LCG Regular" w:hAnsi="Ping LCG Regular" w:cstheme="minorHAnsi"/>
          <w:spacing w:val="-1"/>
        </w:rPr>
        <w:t>.</w:t>
      </w:r>
      <w:r w:rsidR="007C67A2" w:rsidRPr="00957B71">
        <w:rPr>
          <w:rFonts w:ascii="Ping LCG Regular" w:hAnsi="Ping LCG Regular" w:cstheme="minorHAnsi"/>
          <w:spacing w:val="-1"/>
        </w:rPr>
        <w:t xml:space="preserve">146 </w:t>
      </w:r>
      <w:r w:rsidRPr="00957B71">
        <w:rPr>
          <w:rFonts w:ascii="Ping LCG Regular" w:hAnsi="Ping LCG Regular" w:cstheme="minorHAnsi"/>
          <w:spacing w:val="-1"/>
        </w:rPr>
        <w:t xml:space="preserve">Νέες Μετοχές (που αντιστοιχούν σε </w:t>
      </w:r>
      <w:r w:rsidR="006F53B0" w:rsidRPr="00957B71">
        <w:rPr>
          <w:rFonts w:ascii="Ping LCG Regular" w:hAnsi="Ping LCG Regular" w:cstheme="minorHAnsi"/>
          <w:spacing w:val="-1"/>
        </w:rPr>
        <w:t xml:space="preserve">περίπου </w:t>
      </w:r>
      <w:r w:rsidR="007C67A2" w:rsidRPr="00957B71">
        <w:rPr>
          <w:rFonts w:ascii="Ping LCG Regular" w:hAnsi="Ping LCG Regular" w:cstheme="minorHAnsi"/>
          <w:spacing w:val="-1"/>
        </w:rPr>
        <w:t>17</w:t>
      </w:r>
      <w:r w:rsidR="00656072" w:rsidRPr="00957B71">
        <w:rPr>
          <w:rFonts w:ascii="Ping LCG Regular" w:hAnsi="Ping LCG Regular" w:cstheme="minorHAnsi"/>
          <w:spacing w:val="-1"/>
        </w:rPr>
        <w:t>,3</w:t>
      </w:r>
      <w:r w:rsidRPr="00957B71">
        <w:rPr>
          <w:rFonts w:ascii="Ping LCG Regular" w:hAnsi="Ping LCG Regular" w:cstheme="minorHAnsi"/>
          <w:spacing w:val="-1"/>
        </w:rPr>
        <w:t>% του συνόλου των Νέων Μετοχών</w:t>
      </w:r>
      <w:r w:rsidR="00D96488" w:rsidRPr="00957B71">
        <w:rPr>
          <w:rFonts w:ascii="Ping LCG Regular" w:hAnsi="Ping LCG Regular" w:cstheme="minorHAnsi"/>
          <w:spacing w:val="-1"/>
          <w:sz w:val="22"/>
          <w:szCs w:val="22"/>
        </w:rPr>
        <w:t xml:space="preserve"> </w:t>
      </w:r>
      <w:r w:rsidR="00D96488" w:rsidRPr="00957B71">
        <w:rPr>
          <w:rFonts w:ascii="Ping LCG Regular" w:hAnsi="Ping LCG Regular" w:cstheme="minorHAnsi"/>
          <w:spacing w:val="-1"/>
        </w:rPr>
        <w:t>Συνδυασμένης Προσφοράς</w:t>
      </w:r>
      <w:r w:rsidRPr="00957B71">
        <w:rPr>
          <w:rFonts w:ascii="Ping LCG Regular" w:hAnsi="Ping LCG Regular" w:cstheme="minorHAnsi"/>
          <w:spacing w:val="-1"/>
        </w:rPr>
        <w:t xml:space="preserve">) κατανεμήθηκαν σε Ιδιώτες Επενδυτές και Ειδικούς Επενδυτές που συμμετείχαν στην Ελληνική Δημόσια Προσφορά. Οι </w:t>
      </w:r>
      <w:r w:rsidR="00B25291" w:rsidRPr="00957B71">
        <w:rPr>
          <w:rFonts w:ascii="Ping LCG Regular" w:hAnsi="Ping LCG Regular" w:cstheme="minorHAnsi"/>
          <w:spacing w:val="-1"/>
        </w:rPr>
        <w:t>υ</w:t>
      </w:r>
      <w:r w:rsidRPr="00957B71">
        <w:rPr>
          <w:rFonts w:ascii="Ping LCG Regular" w:hAnsi="Ping LCG Regular" w:cstheme="minorHAnsi"/>
          <w:spacing w:val="-1"/>
        </w:rPr>
        <w:t xml:space="preserve">φιστάμενοι </w:t>
      </w:r>
      <w:r w:rsidR="00B25291" w:rsidRPr="00957B71">
        <w:rPr>
          <w:rFonts w:ascii="Ping LCG Regular" w:hAnsi="Ping LCG Regular" w:cstheme="minorHAnsi"/>
          <w:spacing w:val="-1"/>
        </w:rPr>
        <w:t>μ</w:t>
      </w:r>
      <w:r w:rsidRPr="00957B71">
        <w:rPr>
          <w:rFonts w:ascii="Ping LCG Regular" w:hAnsi="Ping LCG Regular" w:cstheme="minorHAnsi"/>
          <w:spacing w:val="-1"/>
        </w:rPr>
        <w:t xml:space="preserve">έτοχοι </w:t>
      </w:r>
      <w:r w:rsidR="004B3DA1" w:rsidRPr="00957B71">
        <w:rPr>
          <w:rFonts w:ascii="Ping LCG Regular" w:hAnsi="Ping LCG Regular" w:cstheme="minorHAnsi"/>
          <w:spacing w:val="-1"/>
        </w:rPr>
        <w:t xml:space="preserve">κατά την Ημερομηνία Καταγραφής </w:t>
      </w:r>
      <w:r w:rsidRPr="00957B71">
        <w:rPr>
          <w:rFonts w:ascii="Ping LCG Regular" w:hAnsi="Ping LCG Regular" w:cstheme="minorHAnsi"/>
          <w:spacing w:val="-1"/>
        </w:rPr>
        <w:t xml:space="preserve">που συμμετείχαν στη Ελληνική Δημόσια Προσφορά δικαιούνταν Κατά Προτεραιότητα Κατανομή. </w:t>
      </w:r>
    </w:p>
    <w:p w14:paraId="3FE6B2FC" w14:textId="19BD6B52" w:rsidR="009400CB" w:rsidRPr="00957B71" w:rsidRDefault="009400CB" w:rsidP="009400CB">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lastRenderedPageBreak/>
        <w:t>(</w:t>
      </w:r>
      <w:proofErr w:type="spellStart"/>
      <w:r w:rsidRPr="00957B71">
        <w:rPr>
          <w:rFonts w:ascii="Ping LCG Regular" w:hAnsi="Ping LCG Regular" w:cstheme="minorHAnsi"/>
          <w:spacing w:val="-1"/>
        </w:rPr>
        <w:t>ii</w:t>
      </w:r>
      <w:proofErr w:type="spellEnd"/>
      <w:r w:rsidRPr="00957B71">
        <w:rPr>
          <w:rFonts w:ascii="Ping LCG Regular" w:hAnsi="Ping LCG Regular" w:cstheme="minorHAnsi"/>
          <w:spacing w:val="-1"/>
        </w:rPr>
        <w:t xml:space="preserve">) </w:t>
      </w:r>
      <w:r w:rsidR="007C67A2" w:rsidRPr="00957B71">
        <w:rPr>
          <w:rFonts w:ascii="Ping LCG Regular" w:hAnsi="Ping LCG Regular" w:cstheme="minorHAnsi"/>
          <w:spacing w:val="-1"/>
        </w:rPr>
        <w:t>78</w:t>
      </w:r>
      <w:r w:rsidR="00F93E52" w:rsidRPr="00957B71">
        <w:rPr>
          <w:rFonts w:ascii="Ping LCG Regular" w:hAnsi="Ping LCG Regular" w:cstheme="minorHAnsi"/>
          <w:spacing w:val="-1"/>
        </w:rPr>
        <w:t>.</w:t>
      </w:r>
      <w:r w:rsidR="007C67A2" w:rsidRPr="00957B71">
        <w:rPr>
          <w:rFonts w:ascii="Ping LCG Regular" w:hAnsi="Ping LCG Regular" w:cstheme="minorHAnsi"/>
          <w:spacing w:val="-1"/>
        </w:rPr>
        <w:t>206</w:t>
      </w:r>
      <w:r w:rsidR="00F93E52" w:rsidRPr="00957B71">
        <w:rPr>
          <w:rFonts w:ascii="Ping LCG Regular" w:hAnsi="Ping LCG Regular" w:cstheme="minorHAnsi"/>
          <w:spacing w:val="-1"/>
        </w:rPr>
        <w:t>.</w:t>
      </w:r>
      <w:r w:rsidR="007C67A2" w:rsidRPr="00957B71">
        <w:rPr>
          <w:rFonts w:ascii="Ping LCG Regular" w:hAnsi="Ping LCG Regular" w:cstheme="minorHAnsi"/>
          <w:spacing w:val="-1"/>
        </w:rPr>
        <w:t>662</w:t>
      </w:r>
      <w:r w:rsidRPr="00957B71">
        <w:rPr>
          <w:rFonts w:ascii="Ping LCG Regular" w:hAnsi="Ping LCG Regular" w:cstheme="minorHAnsi"/>
          <w:spacing w:val="-1"/>
        </w:rPr>
        <w:t xml:space="preserve"> Νέες Μετοχές (που αντιστοιχούν σε </w:t>
      </w:r>
      <w:r w:rsidR="00F35F6B" w:rsidRPr="00957B71">
        <w:rPr>
          <w:rFonts w:ascii="Ping LCG Regular" w:hAnsi="Ping LCG Regular" w:cstheme="minorHAnsi"/>
          <w:spacing w:val="-1"/>
        </w:rPr>
        <w:t xml:space="preserve">περίπου </w:t>
      </w:r>
      <w:r w:rsidR="00C75692" w:rsidRPr="00957B71">
        <w:rPr>
          <w:rFonts w:ascii="Ping LCG Regular" w:hAnsi="Ping LCG Regular" w:cstheme="minorHAnsi"/>
          <w:spacing w:val="-1"/>
        </w:rPr>
        <w:t>82</w:t>
      </w:r>
      <w:r w:rsidR="009C3986" w:rsidRPr="00957B71">
        <w:rPr>
          <w:rFonts w:ascii="Ping LCG Regular" w:hAnsi="Ping LCG Regular" w:cstheme="minorHAnsi"/>
          <w:spacing w:val="-1"/>
        </w:rPr>
        <w:t>,7</w:t>
      </w:r>
      <w:r w:rsidR="007C67A2" w:rsidRPr="00957B71">
        <w:rPr>
          <w:rFonts w:ascii="Ping LCG Regular" w:hAnsi="Ping LCG Regular" w:cstheme="minorHAnsi"/>
          <w:spacing w:val="-1"/>
        </w:rPr>
        <w:t xml:space="preserve">% </w:t>
      </w:r>
      <w:r w:rsidRPr="00957B71">
        <w:rPr>
          <w:rFonts w:ascii="Ping LCG Regular" w:hAnsi="Ping LCG Regular" w:cstheme="minorHAnsi"/>
          <w:spacing w:val="-1"/>
        </w:rPr>
        <w:t>του συνόλου των Νέων Μετοχών</w:t>
      </w:r>
      <w:r w:rsidR="00D96488" w:rsidRPr="00957B71">
        <w:rPr>
          <w:rFonts w:ascii="Ping LCG Regular" w:hAnsi="Ping LCG Regular" w:cstheme="minorHAnsi"/>
          <w:spacing w:val="-1"/>
          <w:sz w:val="22"/>
          <w:szCs w:val="22"/>
        </w:rPr>
        <w:t xml:space="preserve"> </w:t>
      </w:r>
      <w:r w:rsidR="00D96488" w:rsidRPr="00957B71">
        <w:rPr>
          <w:rFonts w:ascii="Ping LCG Regular" w:hAnsi="Ping LCG Regular" w:cstheme="minorHAnsi"/>
          <w:spacing w:val="-1"/>
        </w:rPr>
        <w:t>Συνδυασμένης Προσφοράς</w:t>
      </w:r>
      <w:r w:rsidRPr="00957B71">
        <w:rPr>
          <w:rFonts w:ascii="Ping LCG Regular" w:hAnsi="Ping LCG Regular" w:cstheme="minorHAnsi"/>
          <w:spacing w:val="-1"/>
        </w:rPr>
        <w:t xml:space="preserve">) κατανεμήθηκαν σε επενδυτές που συμμετείχαν στη </w:t>
      </w:r>
      <w:r w:rsidR="007B7B01" w:rsidRPr="00957B71">
        <w:rPr>
          <w:rFonts w:ascii="Ping LCG Regular" w:hAnsi="Ping LCG Regular" w:cstheme="minorHAnsi"/>
          <w:spacing w:val="-1"/>
        </w:rPr>
        <w:t xml:space="preserve">Θεσμική </w:t>
      </w:r>
      <w:r w:rsidRPr="00957B71">
        <w:rPr>
          <w:rFonts w:ascii="Ping LCG Regular" w:hAnsi="Ping LCG Regular" w:cstheme="minorHAnsi"/>
          <w:spacing w:val="-1"/>
        </w:rPr>
        <w:t xml:space="preserve">Προσφορά. Οι </w:t>
      </w:r>
      <w:r w:rsidR="00B25291" w:rsidRPr="00957B71">
        <w:rPr>
          <w:rFonts w:ascii="Ping LCG Regular" w:hAnsi="Ping LCG Regular" w:cstheme="minorHAnsi"/>
          <w:spacing w:val="-1"/>
        </w:rPr>
        <w:t>υ</w:t>
      </w:r>
      <w:r w:rsidRPr="00957B71">
        <w:rPr>
          <w:rFonts w:ascii="Ping LCG Regular" w:hAnsi="Ping LCG Regular" w:cstheme="minorHAnsi"/>
          <w:spacing w:val="-1"/>
        </w:rPr>
        <w:t xml:space="preserve">φιστάμενοι </w:t>
      </w:r>
      <w:r w:rsidR="00B25291" w:rsidRPr="00957B71">
        <w:rPr>
          <w:rFonts w:ascii="Ping LCG Regular" w:hAnsi="Ping LCG Regular" w:cstheme="minorHAnsi"/>
          <w:spacing w:val="-1"/>
        </w:rPr>
        <w:t>μ</w:t>
      </w:r>
      <w:r w:rsidRPr="00957B71">
        <w:rPr>
          <w:rFonts w:ascii="Ping LCG Regular" w:hAnsi="Ping LCG Regular" w:cstheme="minorHAnsi"/>
          <w:spacing w:val="-1"/>
        </w:rPr>
        <w:t xml:space="preserve">έτοχοι που συμμετείχαν στη </w:t>
      </w:r>
      <w:r w:rsidR="007B7B01" w:rsidRPr="00957B71">
        <w:rPr>
          <w:rFonts w:ascii="Ping LCG Regular" w:hAnsi="Ping LCG Regular" w:cstheme="minorHAnsi"/>
          <w:spacing w:val="-1"/>
        </w:rPr>
        <w:t xml:space="preserve">Θεσμική </w:t>
      </w:r>
      <w:r w:rsidRPr="00957B71">
        <w:rPr>
          <w:rFonts w:ascii="Ping LCG Regular" w:hAnsi="Ping LCG Regular" w:cstheme="minorHAnsi"/>
          <w:spacing w:val="-1"/>
        </w:rPr>
        <w:t>Προσφορά δεν δικαιούνταν Κατά Προτεραιότητα Κατανομή.</w:t>
      </w:r>
      <w:r w:rsidR="00A3521B" w:rsidRPr="00957B71">
        <w:rPr>
          <w:rFonts w:ascii="Ping LCG Regular" w:hAnsi="Ping LCG Regular"/>
          <w:sz w:val="22"/>
          <w:szCs w:val="22"/>
        </w:rPr>
        <w:t xml:space="preserve"> </w:t>
      </w:r>
      <w:r w:rsidR="00A3521B" w:rsidRPr="00957B71">
        <w:rPr>
          <w:rFonts w:ascii="Ping LCG Regular" w:hAnsi="Ping LCG Regular" w:cstheme="minorHAnsi"/>
          <w:spacing w:val="-1"/>
        </w:rPr>
        <w:t xml:space="preserve">Οι </w:t>
      </w:r>
      <w:r w:rsidR="00B25291" w:rsidRPr="00957B71">
        <w:rPr>
          <w:rFonts w:ascii="Ping LCG Regular" w:hAnsi="Ping LCG Regular" w:cstheme="minorHAnsi"/>
          <w:spacing w:val="-1"/>
        </w:rPr>
        <w:t>υ</w:t>
      </w:r>
      <w:r w:rsidR="00A3521B" w:rsidRPr="00957B71">
        <w:rPr>
          <w:rFonts w:ascii="Ping LCG Regular" w:hAnsi="Ping LCG Regular" w:cstheme="minorHAnsi"/>
          <w:spacing w:val="-1"/>
        </w:rPr>
        <w:t xml:space="preserve">φιστάμενοι </w:t>
      </w:r>
      <w:r w:rsidR="00B25291" w:rsidRPr="00957B71">
        <w:rPr>
          <w:rFonts w:ascii="Ping LCG Regular" w:hAnsi="Ping LCG Regular" w:cstheme="minorHAnsi"/>
          <w:spacing w:val="-1"/>
        </w:rPr>
        <w:t>μ</w:t>
      </w:r>
      <w:r w:rsidR="00A3521B" w:rsidRPr="00957B71">
        <w:rPr>
          <w:rFonts w:ascii="Ping LCG Regular" w:hAnsi="Ping LCG Regular" w:cstheme="minorHAnsi"/>
          <w:spacing w:val="-1"/>
        </w:rPr>
        <w:t xml:space="preserve">έτοχοι που </w:t>
      </w:r>
      <w:r w:rsidR="00A90C69" w:rsidRPr="00957B71">
        <w:rPr>
          <w:rFonts w:ascii="Ping LCG Regular" w:hAnsi="Ping LCG Regular" w:cstheme="minorHAnsi"/>
          <w:spacing w:val="-1"/>
        </w:rPr>
        <w:t>συμμετείχαν</w:t>
      </w:r>
      <w:r w:rsidR="00A3521B" w:rsidRPr="00957B71">
        <w:rPr>
          <w:rFonts w:ascii="Ping LCG Regular" w:hAnsi="Ping LCG Regular" w:cstheme="minorHAnsi"/>
          <w:spacing w:val="-1"/>
        </w:rPr>
        <w:t xml:space="preserve"> τόσο στην Ελληνική Δημόσια Προσφορά όσο και στη Θεσμική Προσφορά δεν </w:t>
      </w:r>
      <w:r w:rsidR="00A90C69" w:rsidRPr="00957B71">
        <w:rPr>
          <w:rFonts w:ascii="Ping LCG Regular" w:hAnsi="Ping LCG Regular" w:cstheme="minorHAnsi"/>
          <w:spacing w:val="-1"/>
        </w:rPr>
        <w:t>είχαν</w:t>
      </w:r>
      <w:r w:rsidR="00A3521B" w:rsidRPr="00957B71">
        <w:rPr>
          <w:rFonts w:ascii="Ping LCG Regular" w:hAnsi="Ping LCG Regular" w:cstheme="minorHAnsi"/>
          <w:spacing w:val="-1"/>
        </w:rPr>
        <w:t xml:space="preserve"> το Δικαίωμα Κατά Προτεραιότητα Κατανομής στην Ελληνική Δημόσια Προσφορά</w:t>
      </w:r>
      <w:r w:rsidR="00A90C69" w:rsidRPr="00957B71">
        <w:rPr>
          <w:rFonts w:ascii="Ping LCG Regular" w:hAnsi="Ping LCG Regular" w:cstheme="minorHAnsi"/>
          <w:spacing w:val="-1"/>
        </w:rPr>
        <w:t>.</w:t>
      </w:r>
    </w:p>
    <w:p w14:paraId="3FFD6A05" w14:textId="179D1E74" w:rsidR="00D66669" w:rsidRPr="00957B71" w:rsidRDefault="00D66669"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Οι </w:t>
      </w:r>
      <w:r w:rsidR="00F93E52" w:rsidRPr="00957B71">
        <w:rPr>
          <w:rFonts w:ascii="Ping LCG Regular" w:hAnsi="Ping LCG Regular" w:cstheme="minorHAnsi"/>
          <w:spacing w:val="-1"/>
        </w:rPr>
        <w:t>16.327.146</w:t>
      </w:r>
      <w:r w:rsidRPr="00957B71">
        <w:rPr>
          <w:rFonts w:ascii="Ping LCG Regular" w:hAnsi="Ping LCG Regular" w:cstheme="minorHAnsi"/>
          <w:spacing w:val="-1"/>
        </w:rPr>
        <w:t xml:space="preserve"> Νέες Μετοχές οι οποίες </w:t>
      </w:r>
      <w:r w:rsidR="006934B5" w:rsidRPr="00957B71">
        <w:rPr>
          <w:rFonts w:ascii="Ping LCG Regular" w:hAnsi="Ping LCG Regular" w:cstheme="minorHAnsi"/>
          <w:spacing w:val="-1"/>
        </w:rPr>
        <w:t>κατανεμήθηκαν τελικώς στην</w:t>
      </w:r>
      <w:r w:rsidRPr="00957B71">
        <w:rPr>
          <w:rFonts w:ascii="Ping LCG Regular" w:hAnsi="Ping LCG Regular" w:cstheme="minorHAnsi"/>
          <w:spacing w:val="-1"/>
        </w:rPr>
        <w:t xml:space="preserve"> Ελληνική Δημόσια Προσφορά, και οι οποίες αντιπροσωπεύουν περίπου το </w:t>
      </w:r>
      <w:r w:rsidR="00497E78" w:rsidRPr="00957B71">
        <w:rPr>
          <w:rFonts w:ascii="Ping LCG Regular" w:hAnsi="Ping LCG Regular" w:cstheme="minorHAnsi"/>
          <w:spacing w:val="-1"/>
        </w:rPr>
        <w:t>17</w:t>
      </w:r>
      <w:r w:rsidR="00A1157B" w:rsidRPr="00957B71">
        <w:rPr>
          <w:rFonts w:ascii="Ping LCG Regular" w:hAnsi="Ping LCG Regular" w:cstheme="minorHAnsi"/>
          <w:spacing w:val="-1"/>
        </w:rPr>
        <w:t>,3</w:t>
      </w:r>
      <w:r w:rsidR="00497E78" w:rsidRPr="00957B71">
        <w:rPr>
          <w:rFonts w:ascii="Ping LCG Regular" w:hAnsi="Ping LCG Regular" w:cstheme="minorHAnsi"/>
          <w:spacing w:val="-1"/>
        </w:rPr>
        <w:t xml:space="preserve">% </w:t>
      </w:r>
      <w:r w:rsidRPr="00957B71">
        <w:rPr>
          <w:rFonts w:ascii="Ping LCG Regular" w:hAnsi="Ping LCG Regular" w:cstheme="minorHAnsi"/>
          <w:spacing w:val="-1"/>
        </w:rPr>
        <w:t xml:space="preserve">του συνόλου των Νέων Μετοχών </w:t>
      </w:r>
      <w:r w:rsidR="000F35AA" w:rsidRPr="00957B71">
        <w:rPr>
          <w:rFonts w:ascii="Ping LCG Regular" w:hAnsi="Ping LCG Regular" w:cstheme="minorHAnsi"/>
          <w:spacing w:val="-1"/>
        </w:rPr>
        <w:t xml:space="preserve">Συνδυασμένης Προσφοράς </w:t>
      </w:r>
      <w:r w:rsidRPr="00957B71">
        <w:rPr>
          <w:rFonts w:ascii="Ping LCG Regular" w:hAnsi="Ping LCG Regular" w:cstheme="minorHAnsi"/>
          <w:spacing w:val="-1"/>
        </w:rPr>
        <w:t>(οι «</w:t>
      </w:r>
      <w:r w:rsidRPr="00957B71">
        <w:rPr>
          <w:rFonts w:ascii="Ping LCG Regular" w:hAnsi="Ping LCG Regular" w:cstheme="minorHAnsi"/>
          <w:b/>
          <w:bCs/>
          <w:spacing w:val="-1"/>
        </w:rPr>
        <w:t>Νέες Μετοχές Ελληνικής Δημόσιας Προσφοράς</w:t>
      </w:r>
      <w:r w:rsidRPr="00957B71">
        <w:rPr>
          <w:rFonts w:ascii="Ping LCG Regular" w:hAnsi="Ping LCG Regular" w:cstheme="minorHAnsi"/>
          <w:spacing w:val="-1"/>
        </w:rPr>
        <w:t xml:space="preserve">»), κατανεμήθηκαν, σύμφωνα με την από </w:t>
      </w:r>
      <w:r w:rsidR="00497E78" w:rsidRPr="00957B71">
        <w:rPr>
          <w:rFonts w:ascii="Ping LCG Regular" w:hAnsi="Ping LCG Regular" w:cstheme="minorHAnsi"/>
        </w:rPr>
        <w:t>25</w:t>
      </w:r>
      <w:r w:rsidR="00497E78" w:rsidRPr="00957B71">
        <w:rPr>
          <w:rFonts w:ascii="Ping LCG Regular" w:hAnsi="Ping LCG Regular" w:cstheme="minorHAnsi"/>
          <w:spacing w:val="-1"/>
        </w:rPr>
        <w:t>.</w:t>
      </w:r>
      <w:r w:rsidR="00C65A7A" w:rsidRPr="00957B71">
        <w:rPr>
          <w:rFonts w:ascii="Ping LCG Regular" w:hAnsi="Ping LCG Regular" w:cstheme="minorHAnsi"/>
          <w:spacing w:val="-1"/>
        </w:rPr>
        <w:t>05</w:t>
      </w:r>
      <w:r w:rsidRPr="00957B71">
        <w:rPr>
          <w:rFonts w:ascii="Ping LCG Regular" w:hAnsi="Ping LCG Regular" w:cstheme="minorHAnsi"/>
          <w:spacing w:val="-1"/>
        </w:rPr>
        <w:t xml:space="preserve">.2026 απόφαση του Διοικητικού Συμβουλίου της Εταιρείας και τα σχετικώς αναφερόμενα στο </w:t>
      </w:r>
      <w:r w:rsidR="00583ABC" w:rsidRPr="00957B71">
        <w:rPr>
          <w:rFonts w:ascii="Ping LCG Regular" w:hAnsi="Ping LCG Regular" w:cstheme="minorHAnsi"/>
          <w:spacing w:val="-1"/>
        </w:rPr>
        <w:t>από 18.05.2026</w:t>
      </w:r>
      <w:r w:rsidRPr="00957B71">
        <w:rPr>
          <w:rFonts w:ascii="Ping LCG Regular" w:hAnsi="Ping LCG Regular" w:cstheme="minorHAnsi"/>
          <w:spacing w:val="-1"/>
        </w:rPr>
        <w:t xml:space="preserve"> Έγγραφο του Παραρτήματος IX του </w:t>
      </w:r>
      <w:r w:rsidR="00F24CE9" w:rsidRPr="00957B71">
        <w:rPr>
          <w:rFonts w:ascii="Ping LCG Regular" w:hAnsi="Ping LCG Regular" w:cstheme="minorHAnsi"/>
          <w:spacing w:val="-1"/>
        </w:rPr>
        <w:t>Κ</w:t>
      </w:r>
      <w:r w:rsidRPr="00957B71">
        <w:rPr>
          <w:rFonts w:ascii="Ping LCG Regular" w:hAnsi="Ping LCG Regular" w:cstheme="minorHAnsi"/>
          <w:spacing w:val="-1"/>
        </w:rPr>
        <w:t>ανονισμού</w:t>
      </w:r>
      <w:r w:rsidR="00583ABC" w:rsidRPr="00957B71">
        <w:rPr>
          <w:rFonts w:ascii="Ping LCG Regular" w:hAnsi="Ping LCG Regular" w:cstheme="minorHAnsi"/>
          <w:spacing w:val="-1"/>
        </w:rPr>
        <w:t xml:space="preserve"> που συνέταξε η Εταιρεία</w:t>
      </w:r>
      <w:r w:rsidR="006934B5" w:rsidRPr="00957B71">
        <w:rPr>
          <w:rFonts w:ascii="Ping LCG Regular" w:hAnsi="Ping LCG Regular" w:cstheme="minorHAnsi"/>
          <w:spacing w:val="-1"/>
        </w:rPr>
        <w:t xml:space="preserve">  (το «</w:t>
      </w:r>
      <w:r w:rsidR="006934B5" w:rsidRPr="00957B71">
        <w:rPr>
          <w:rFonts w:ascii="Ping LCG Regular" w:hAnsi="Ping LCG Regular" w:cstheme="minorHAnsi"/>
          <w:b/>
          <w:bCs/>
          <w:spacing w:val="-1"/>
        </w:rPr>
        <w:t>Έγγραφο</w:t>
      </w:r>
      <w:r w:rsidR="006934B5" w:rsidRPr="00957B71">
        <w:rPr>
          <w:rFonts w:ascii="Ping LCG Regular" w:hAnsi="Ping LCG Regular" w:cstheme="minorHAnsi"/>
          <w:spacing w:val="-1"/>
        </w:rPr>
        <w:t>»)</w:t>
      </w:r>
      <w:r w:rsidRPr="00957B71">
        <w:rPr>
          <w:rFonts w:ascii="Ping LCG Regular" w:hAnsi="Ping LCG Regular" w:cstheme="minorHAnsi"/>
          <w:spacing w:val="-1"/>
        </w:rPr>
        <w:t>, βάσει της έγκυρης ζήτησης που εκδηλώθηκε στην Τιμή Διάθεσης, ως εξής:</w:t>
      </w:r>
    </w:p>
    <w:p w14:paraId="52F8C93A" w14:textId="05F1439D" w:rsidR="00D66669" w:rsidRPr="00957B71" w:rsidRDefault="00D66669" w:rsidP="00D66669">
      <w:pPr>
        <w:pStyle w:val="BodyText"/>
        <w:spacing w:after="120" w:line="259" w:lineRule="auto"/>
        <w:ind w:left="1418" w:right="110"/>
        <w:jc w:val="both"/>
        <w:rPr>
          <w:rFonts w:ascii="Ping LCG Regular" w:hAnsi="Ping LCG Regular" w:cstheme="minorHAnsi"/>
          <w:spacing w:val="-1"/>
        </w:rPr>
      </w:pPr>
      <w:r w:rsidRPr="00957B71">
        <w:rPr>
          <w:rFonts w:ascii="Ping LCG Regular" w:hAnsi="Ping LCG Regular" w:cstheme="minorHAnsi"/>
          <w:spacing w:val="-1"/>
        </w:rPr>
        <w:t xml:space="preserve">(α) </w:t>
      </w:r>
      <w:r w:rsidR="00FD4A77" w:rsidRPr="00957B71">
        <w:rPr>
          <w:rFonts w:ascii="Ping LCG Regular" w:hAnsi="Ping LCG Regular" w:cstheme="minorHAnsi"/>
        </w:rPr>
        <w:t>13.892.947</w:t>
      </w:r>
      <w:r w:rsidRPr="00957B71">
        <w:rPr>
          <w:rFonts w:ascii="Ping LCG Regular" w:hAnsi="Ping LCG Regular" w:cstheme="minorHAnsi"/>
          <w:spacing w:val="-1"/>
        </w:rPr>
        <w:t xml:space="preserve"> Νέες Μετοχές Ελληνικής Δημόσιας Προσφοράς, ήτοι περίπου </w:t>
      </w:r>
      <w:r w:rsidR="00FD4A77" w:rsidRPr="00957B71">
        <w:rPr>
          <w:rFonts w:ascii="Ping LCG Regular" w:hAnsi="Ping LCG Regular" w:cstheme="minorHAnsi"/>
          <w:spacing w:val="-1"/>
        </w:rPr>
        <w:t xml:space="preserve">85,1% </w:t>
      </w:r>
      <w:r w:rsidRPr="00957B71">
        <w:rPr>
          <w:rFonts w:ascii="Ping LCG Regular" w:hAnsi="Ping LCG Regular" w:cstheme="minorHAnsi"/>
          <w:spacing w:val="-1"/>
        </w:rPr>
        <w:t xml:space="preserve">των Νέων Μετοχών Ελληνικής Δημόσιας Προσφοράς, σε </w:t>
      </w:r>
      <w:r w:rsidR="00752229" w:rsidRPr="00957B71">
        <w:rPr>
          <w:rFonts w:ascii="Ping LCG Regular" w:hAnsi="Ping LCG Regular" w:cstheme="minorHAnsi"/>
          <w:spacing w:val="-1"/>
        </w:rPr>
        <w:t>Κατά Προτεραιότητα Επενδυτές</w:t>
      </w:r>
      <w:r w:rsidRPr="00957B71">
        <w:rPr>
          <w:rFonts w:ascii="Ping LCG Regular" w:hAnsi="Ping LCG Regular" w:cstheme="minorHAnsi"/>
          <w:spacing w:val="-1"/>
        </w:rPr>
        <w:t>.</w:t>
      </w:r>
    </w:p>
    <w:p w14:paraId="54867F82" w14:textId="3D4D70B9" w:rsidR="00D66669" w:rsidRPr="00957B71" w:rsidRDefault="00D66669" w:rsidP="00D66669">
      <w:pPr>
        <w:pStyle w:val="BodyText"/>
        <w:spacing w:after="120" w:line="259" w:lineRule="auto"/>
        <w:ind w:left="1418" w:right="110"/>
        <w:jc w:val="both"/>
        <w:rPr>
          <w:rFonts w:ascii="Ping LCG Regular" w:hAnsi="Ping LCG Regular" w:cstheme="minorHAnsi"/>
          <w:spacing w:val="-1"/>
        </w:rPr>
      </w:pPr>
      <w:r w:rsidRPr="00957B71">
        <w:rPr>
          <w:rFonts w:ascii="Ping LCG Regular" w:hAnsi="Ping LCG Regular" w:cstheme="minorHAnsi"/>
          <w:spacing w:val="-1"/>
        </w:rPr>
        <w:t xml:space="preserve">(β) οι υπόλοιπες </w:t>
      </w:r>
      <w:r w:rsidR="00F2035D" w:rsidRPr="00957B71">
        <w:rPr>
          <w:rFonts w:ascii="Ping LCG Regular" w:hAnsi="Ping LCG Regular" w:cstheme="minorHAnsi"/>
          <w:spacing w:val="-1"/>
        </w:rPr>
        <w:t xml:space="preserve">2.434.199 </w:t>
      </w:r>
      <w:r w:rsidRPr="00957B71">
        <w:rPr>
          <w:rFonts w:ascii="Ping LCG Regular" w:hAnsi="Ping LCG Regular" w:cstheme="minorHAnsi"/>
          <w:spacing w:val="-1"/>
        </w:rPr>
        <w:t xml:space="preserve">Νέες Μετοχές Ελληνικής Δημόσιας Προσφοράς, ήτοι περίπου </w:t>
      </w:r>
      <w:r w:rsidR="00F1720E" w:rsidRPr="00957B71">
        <w:rPr>
          <w:rFonts w:ascii="Ping LCG Regular" w:hAnsi="Ping LCG Regular" w:cstheme="minorHAnsi"/>
          <w:spacing w:val="-1"/>
        </w:rPr>
        <w:t>14,9</w:t>
      </w:r>
      <w:r w:rsidR="00F1720E" w:rsidRPr="00957B71" w:rsidDel="00F1720E">
        <w:rPr>
          <w:rFonts w:ascii="Ping LCG Regular" w:hAnsi="Ping LCG Regular" w:cstheme="minorHAnsi"/>
          <w:spacing w:val="-1"/>
        </w:rPr>
        <w:t xml:space="preserve"> </w:t>
      </w:r>
      <w:r w:rsidRPr="00957B71">
        <w:rPr>
          <w:rFonts w:ascii="Ping LCG Regular" w:hAnsi="Ping LCG Regular" w:cstheme="minorHAnsi"/>
          <w:spacing w:val="-1"/>
        </w:rPr>
        <w:t xml:space="preserve">% των Νέων Μετοχών Ελληνικής Δημόσιας Προσφοράς, κατανεμήθηκαν τόσο σε </w:t>
      </w:r>
      <w:r w:rsidR="008A0DDE" w:rsidRPr="00957B71">
        <w:rPr>
          <w:rFonts w:ascii="Ping LCG Regular" w:hAnsi="Ping LCG Regular" w:cstheme="minorHAnsi"/>
          <w:spacing w:val="-1"/>
        </w:rPr>
        <w:t>υ</w:t>
      </w:r>
      <w:r w:rsidRPr="00957B71">
        <w:rPr>
          <w:rFonts w:ascii="Ping LCG Regular" w:hAnsi="Ping LCG Regular" w:cstheme="minorHAnsi"/>
          <w:spacing w:val="-1"/>
        </w:rPr>
        <w:t xml:space="preserve">φιστάμενους </w:t>
      </w:r>
      <w:r w:rsidR="008A0DDE" w:rsidRPr="00957B71">
        <w:rPr>
          <w:rFonts w:ascii="Ping LCG Regular" w:hAnsi="Ping LCG Regular" w:cstheme="minorHAnsi"/>
          <w:spacing w:val="-1"/>
        </w:rPr>
        <w:t>μ</w:t>
      </w:r>
      <w:r w:rsidRPr="00957B71">
        <w:rPr>
          <w:rFonts w:ascii="Ping LCG Regular" w:hAnsi="Ping LCG Regular" w:cstheme="minorHAnsi"/>
          <w:spacing w:val="-1"/>
        </w:rPr>
        <w:t xml:space="preserve">ετόχους που εγγράφηκαν για υπερβάλλον ποσό </w:t>
      </w:r>
      <w:r w:rsidR="00E57B88" w:rsidRPr="00957B71">
        <w:rPr>
          <w:rFonts w:ascii="Ping LCG Regular" w:hAnsi="Ping LCG Regular" w:cstheme="minorHAnsi"/>
          <w:spacing w:val="-1"/>
        </w:rPr>
        <w:t xml:space="preserve">ή δεν είχαν το Δικαίωμα Κατά Προτεραιότητα Κατανομής </w:t>
      </w:r>
      <w:r w:rsidR="00CD3B98" w:rsidRPr="00957B71">
        <w:rPr>
          <w:rFonts w:ascii="Ping LCG Regular" w:hAnsi="Ping LCG Regular" w:cstheme="minorHAnsi"/>
          <w:spacing w:val="-1"/>
        </w:rPr>
        <w:t>επειδή συμμετείχαν τόσο στην Ελληνική Δημόσια Προσφορά όσο και στη Θεσμική Προσφορά,</w:t>
      </w:r>
      <w:r w:rsidR="0027754C" w:rsidRPr="00957B71">
        <w:rPr>
          <w:rFonts w:ascii="Ping LCG Regular" w:hAnsi="Ping LCG Regular" w:cstheme="minorHAnsi"/>
          <w:spacing w:val="-1"/>
        </w:rPr>
        <w:t xml:space="preserve"> </w:t>
      </w:r>
      <w:r w:rsidRPr="00957B71">
        <w:rPr>
          <w:rFonts w:ascii="Ping LCG Regular" w:hAnsi="Ping LCG Regular" w:cstheme="minorHAnsi"/>
          <w:spacing w:val="-1"/>
        </w:rPr>
        <w:t xml:space="preserve">όσο και </w:t>
      </w:r>
      <w:r w:rsidR="006A036C" w:rsidRPr="00957B71">
        <w:rPr>
          <w:rFonts w:ascii="Ping LCG Regular" w:hAnsi="Ping LCG Regular" w:cstheme="minorHAnsi"/>
          <w:spacing w:val="-1"/>
        </w:rPr>
        <w:t xml:space="preserve">σε </w:t>
      </w:r>
      <w:r w:rsidRPr="00957B71">
        <w:rPr>
          <w:rFonts w:ascii="Ping LCG Regular" w:hAnsi="Ping LCG Regular" w:cstheme="minorHAnsi"/>
          <w:spacing w:val="-1"/>
        </w:rPr>
        <w:t>νέους επενδυτές, κατόπιν της κατ’ αναλογία κατανομής για Νέες Μετοχές Ελληνικής Δημόσιας Προσφοράς</w:t>
      </w:r>
      <w:r w:rsidR="006A036C" w:rsidRPr="00957B71">
        <w:rPr>
          <w:rFonts w:ascii="Ping LCG Regular" w:hAnsi="Ping LCG Regular" w:cstheme="minorHAnsi"/>
          <w:spacing w:val="-1"/>
        </w:rPr>
        <w:t>,</w:t>
      </w:r>
      <w:r w:rsidRPr="00957B71">
        <w:rPr>
          <w:rFonts w:ascii="Ping LCG Regular" w:hAnsi="Ping LCG Regular" w:cstheme="minorHAnsi"/>
          <w:spacing w:val="-1"/>
        </w:rPr>
        <w:t xml:space="preserve"> οι οποίες δεν κατανεμήθηκαν επί τη </w:t>
      </w:r>
      <w:r w:rsidR="00315690" w:rsidRPr="00957B71">
        <w:rPr>
          <w:rFonts w:ascii="Ping LCG Regular" w:hAnsi="Ping LCG Regular" w:cstheme="minorHAnsi"/>
          <w:spacing w:val="-1"/>
        </w:rPr>
        <w:t>βάσει</w:t>
      </w:r>
      <w:r w:rsidRPr="00957B71">
        <w:rPr>
          <w:rFonts w:ascii="Ping LCG Regular" w:hAnsi="Ping LCG Regular" w:cstheme="minorHAnsi"/>
          <w:spacing w:val="-1"/>
        </w:rPr>
        <w:t xml:space="preserve"> της Κατά Προτεραιότητα Κατανομής,</w:t>
      </w:r>
    </w:p>
    <w:p w14:paraId="77EC2937" w14:textId="35500CF2" w:rsidR="00D66669" w:rsidRPr="00957B71" w:rsidRDefault="00D66669" w:rsidP="00D66669">
      <w:pPr>
        <w:pStyle w:val="BodyText"/>
        <w:spacing w:after="120" w:line="259" w:lineRule="auto"/>
        <w:ind w:left="1418" w:right="110"/>
        <w:jc w:val="both"/>
        <w:rPr>
          <w:rFonts w:ascii="Ping LCG Regular" w:hAnsi="Ping LCG Regular" w:cstheme="minorHAnsi"/>
          <w:spacing w:val="-1"/>
        </w:rPr>
      </w:pPr>
      <w:r w:rsidRPr="00957B71">
        <w:rPr>
          <w:rFonts w:ascii="Ping LCG Regular" w:hAnsi="Ping LCG Regular" w:cstheme="minorHAnsi"/>
          <w:spacing w:val="-1"/>
        </w:rPr>
        <w:t xml:space="preserve">Επιπλέον διευκρινίζεται ότι </w:t>
      </w:r>
      <w:r w:rsidR="00464EE4" w:rsidRPr="00957B71">
        <w:rPr>
          <w:rFonts w:ascii="Ping LCG Regular" w:hAnsi="Ping LCG Regular" w:cstheme="minorHAnsi"/>
          <w:spacing w:val="-1"/>
        </w:rPr>
        <w:t>8.940.352</w:t>
      </w:r>
      <w:r w:rsidRPr="00957B71">
        <w:rPr>
          <w:rFonts w:ascii="Ping LCG Regular" w:hAnsi="Ping LCG Regular" w:cstheme="minorHAnsi"/>
          <w:spacing w:val="-1"/>
        </w:rPr>
        <w:t xml:space="preserve"> Νέες Μετοχές Ελληνικής Δημόσιας Προσφοράς, ήτοι </w:t>
      </w:r>
      <w:r w:rsidR="008F7557" w:rsidRPr="00957B71">
        <w:rPr>
          <w:rFonts w:ascii="Ping LCG Regular" w:hAnsi="Ping LCG Regular"/>
        </w:rPr>
        <w:t>54,76</w:t>
      </w:r>
      <w:r w:rsidRPr="00957B71">
        <w:rPr>
          <w:rFonts w:ascii="Ping LCG Regular" w:hAnsi="Ping LCG Regular" w:cstheme="minorHAnsi"/>
          <w:spacing w:val="-1"/>
        </w:rPr>
        <w:t xml:space="preserve">% των Νέων Μετοχών Ελληνικής Δημόσιας Προσφοράς, κατανεμήθηκαν σε Ειδικούς Επενδυτές και </w:t>
      </w:r>
      <w:r w:rsidR="003D010C" w:rsidRPr="00957B71">
        <w:rPr>
          <w:rFonts w:ascii="Ping LCG Regular" w:hAnsi="Ping LCG Regular" w:cstheme="minorHAnsi"/>
          <w:spacing w:val="-1"/>
        </w:rPr>
        <w:t>7.386.794</w:t>
      </w:r>
      <w:r w:rsidRPr="00957B71">
        <w:rPr>
          <w:rFonts w:ascii="Ping LCG Regular" w:hAnsi="Ping LCG Regular" w:cstheme="minorHAnsi"/>
          <w:spacing w:val="-1"/>
        </w:rPr>
        <w:t xml:space="preserve"> Νέες Μετοχές Ελληνικής Δημόσιας Προσφοράς, ήτοι </w:t>
      </w:r>
      <w:r w:rsidR="00893704" w:rsidRPr="00957B71">
        <w:rPr>
          <w:rFonts w:ascii="Ping LCG Regular" w:hAnsi="Ping LCG Regular" w:cstheme="minorHAnsi"/>
          <w:spacing w:val="-1"/>
        </w:rPr>
        <w:t>45,24</w:t>
      </w:r>
      <w:r w:rsidRPr="00957B71">
        <w:rPr>
          <w:rFonts w:ascii="Ping LCG Regular" w:hAnsi="Ping LCG Regular" w:cstheme="minorHAnsi"/>
          <w:spacing w:val="-1"/>
        </w:rPr>
        <w:t>% των Νέων Μετοχών Ελληνικής Δημόσιας Προσφοράς, σε Ιδιώτες Επενδυτές.</w:t>
      </w:r>
    </w:p>
    <w:p w14:paraId="604D1802" w14:textId="08AC0174" w:rsidR="00EF5E0F" w:rsidRPr="00957B71" w:rsidRDefault="00EF5E0F" w:rsidP="00EF5E0F">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Συνεπεία των ανωτέρω</w:t>
      </w:r>
      <w:r w:rsidR="00223E70" w:rsidRPr="00957B71">
        <w:rPr>
          <w:rFonts w:ascii="Ping LCG Regular" w:hAnsi="Ping LCG Regular" w:cstheme="minorHAnsi"/>
          <w:spacing w:val="-1"/>
        </w:rPr>
        <w:t>, με την</w:t>
      </w:r>
      <w:r w:rsidRPr="00957B71">
        <w:rPr>
          <w:rFonts w:ascii="Ping LCG Regular" w:hAnsi="Ping LCG Regular" w:cstheme="minorHAnsi"/>
          <w:spacing w:val="-1"/>
        </w:rPr>
        <w:t xml:space="preserve"> από </w:t>
      </w:r>
      <w:r w:rsidR="00322B01" w:rsidRPr="00957B71">
        <w:rPr>
          <w:rFonts w:ascii="Ping LCG Regular" w:hAnsi="Ping LCG Regular" w:cstheme="minorHAnsi"/>
          <w:spacing w:val="-1"/>
        </w:rPr>
        <w:t>25</w:t>
      </w:r>
      <w:r w:rsidR="00D146C2" w:rsidRPr="00957B71">
        <w:rPr>
          <w:rFonts w:ascii="Ping LCG Regular" w:hAnsi="Ping LCG Regular" w:cstheme="minorHAnsi"/>
          <w:spacing w:val="-1"/>
        </w:rPr>
        <w:t>.</w:t>
      </w:r>
      <w:r w:rsidR="0087211A" w:rsidRPr="00957B71">
        <w:rPr>
          <w:rFonts w:ascii="Ping LCG Regular" w:hAnsi="Ping LCG Regular" w:cstheme="minorHAnsi"/>
          <w:spacing w:val="-1"/>
        </w:rPr>
        <w:t>05</w:t>
      </w:r>
      <w:r w:rsidRPr="00957B71">
        <w:rPr>
          <w:rFonts w:ascii="Ping LCG Regular" w:hAnsi="Ping LCG Regular" w:cstheme="minorHAnsi"/>
          <w:spacing w:val="-1"/>
        </w:rPr>
        <w:t>.2026 απόφαση του Διοικητικού Συμβουλίου της Εταιρείας διαπιστώθηκε, σύμφωνα με τις προβλέψεις του άρθρου 20 του Ν. 4548/2018, η πιστοποίηση της εμπρόθεσμης και ολοσχερούς καταβολής του συνολικού ποσού της Αύξησης</w:t>
      </w:r>
      <w:r w:rsidR="00652904" w:rsidRPr="00957B71">
        <w:rPr>
          <w:rFonts w:ascii="Ping LCG Regular" w:hAnsi="Ping LCG Regular" w:cstheme="minorHAnsi"/>
          <w:spacing w:val="-1"/>
        </w:rPr>
        <w:t xml:space="preserve"> Μετοχικού Κεφαλαίου</w:t>
      </w:r>
      <w:r w:rsidRPr="00957B71">
        <w:rPr>
          <w:rFonts w:ascii="Ping LCG Regular" w:hAnsi="Ping LCG Regular" w:cstheme="minorHAnsi"/>
          <w:spacing w:val="-1"/>
        </w:rPr>
        <w:t>.</w:t>
      </w:r>
    </w:p>
    <w:p w14:paraId="089EE011" w14:textId="5878273E" w:rsidR="00EF5E0F" w:rsidRPr="00957B71" w:rsidRDefault="00EF5E0F" w:rsidP="00EF5E0F">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Κατόπιν των ανωτέρω, το μετοχικό κεφάλαιο της Εταιρείας αυξήθηκε κατά</w:t>
      </w:r>
      <w:r w:rsidR="00FC0E17" w:rsidRPr="00957B71">
        <w:rPr>
          <w:rFonts w:ascii="Ping LCG Regular" w:hAnsi="Ping LCG Regular" w:cstheme="minorHAnsi"/>
          <w:spacing w:val="-1"/>
        </w:rPr>
        <w:t xml:space="preserve"> </w:t>
      </w:r>
      <w:r w:rsidRPr="00957B71">
        <w:rPr>
          <w:rFonts w:ascii="Ping LCG Regular" w:hAnsi="Ping LCG Regular" w:cstheme="minorHAnsi"/>
          <w:spacing w:val="-1"/>
        </w:rPr>
        <w:t>€</w:t>
      </w:r>
      <w:r w:rsidR="00FC0E17" w:rsidRPr="00957B71">
        <w:rPr>
          <w:rFonts w:ascii="Ping LCG Regular" w:hAnsi="Ping LCG Regular" w:cstheme="minorHAnsi"/>
          <w:spacing w:val="-1"/>
        </w:rPr>
        <w:t>565.754.</w:t>
      </w:r>
      <w:r w:rsidR="00D00EDC" w:rsidRPr="00957B71">
        <w:rPr>
          <w:rFonts w:ascii="Ping LCG Regular" w:hAnsi="Ping LCG Regular" w:cstheme="minorHAnsi"/>
          <w:spacing w:val="-1"/>
        </w:rPr>
        <w:t xml:space="preserve">158,96 </w:t>
      </w:r>
      <w:r w:rsidRPr="00957B71">
        <w:rPr>
          <w:rFonts w:ascii="Ping LCG Regular" w:hAnsi="Ping LCG Regular" w:cstheme="minorHAnsi"/>
          <w:spacing w:val="-1"/>
        </w:rPr>
        <w:t xml:space="preserve">με την έκδοση </w:t>
      </w:r>
      <w:r w:rsidR="00E152A5" w:rsidRPr="00957B71">
        <w:rPr>
          <w:rFonts w:ascii="Ping LCG Regular" w:hAnsi="Ping LCG Regular" w:cstheme="minorHAnsi"/>
          <w:spacing w:val="-1"/>
        </w:rPr>
        <w:t>των Νέων Μετοχών</w:t>
      </w:r>
      <w:r w:rsidRPr="00957B71">
        <w:rPr>
          <w:rFonts w:ascii="Ping LCG Regular" w:hAnsi="Ping LCG Regular" w:cstheme="minorHAnsi"/>
          <w:spacing w:val="-1"/>
        </w:rPr>
        <w:t xml:space="preserve">, ενώ η διαφορά μεταξύ της ονομαστικής αξίας των Νέων Μετοχών και της Τιμής Διάθεσής τους </w:t>
      </w:r>
      <w:r w:rsidR="00DE4013" w:rsidRPr="00957B71">
        <w:rPr>
          <w:rFonts w:ascii="Ping LCG Regular" w:hAnsi="Ping LCG Regular" w:cstheme="minorHAnsi"/>
          <w:spacing w:val="-1"/>
        </w:rPr>
        <w:t xml:space="preserve">ύψους </w:t>
      </w:r>
      <w:r w:rsidR="002050FB" w:rsidRPr="00957B71">
        <w:rPr>
          <w:rFonts w:ascii="Ping LCG Regular" w:hAnsi="Ping LCG Regular" w:cstheme="minorHAnsi"/>
          <w:spacing w:val="-1"/>
          <w:lang w:bidi="el-GR"/>
        </w:rPr>
        <w:t>€</w:t>
      </w:r>
      <w:r w:rsidR="00A23274" w:rsidRPr="00957B71">
        <w:rPr>
          <w:rFonts w:ascii="Ping LCG Regular" w:hAnsi="Ping LCG Regular" w:cstheme="minorHAnsi"/>
          <w:spacing w:val="-1"/>
          <w:lang w:bidi="el-GR"/>
        </w:rPr>
        <w:t>3.684.245.</w:t>
      </w:r>
      <w:r w:rsidR="00187CBD" w:rsidRPr="00957B71">
        <w:rPr>
          <w:rFonts w:ascii="Ping LCG Regular" w:hAnsi="Ping LCG Regular" w:cstheme="minorHAnsi"/>
          <w:spacing w:val="-1"/>
          <w:lang w:bidi="el-GR"/>
        </w:rPr>
        <w:t>8</w:t>
      </w:r>
      <w:r w:rsidR="00D7545E" w:rsidRPr="00957B71">
        <w:rPr>
          <w:rFonts w:ascii="Ping LCG Regular" w:hAnsi="Ping LCG Regular" w:cstheme="minorHAnsi"/>
          <w:spacing w:val="-1"/>
          <w:lang w:bidi="el-GR"/>
        </w:rPr>
        <w:t>3</w:t>
      </w:r>
      <w:r w:rsidR="00D00EDC" w:rsidRPr="00957B71">
        <w:rPr>
          <w:rFonts w:ascii="Ping LCG Regular" w:hAnsi="Ping LCG Regular" w:cstheme="minorHAnsi"/>
          <w:spacing w:val="-1"/>
          <w:lang w:bidi="el-GR"/>
        </w:rPr>
        <w:t>3</w:t>
      </w:r>
      <w:r w:rsidR="005B0EF7" w:rsidRPr="00957B71">
        <w:rPr>
          <w:rFonts w:ascii="Ping LCG Regular" w:hAnsi="Ping LCG Regular" w:cstheme="minorHAnsi"/>
          <w:spacing w:val="-1"/>
          <w:lang w:bidi="el-GR"/>
        </w:rPr>
        <w:t>,55</w:t>
      </w:r>
      <w:r w:rsidR="003D096F" w:rsidRPr="00957B71">
        <w:rPr>
          <w:rFonts w:ascii="Ping LCG Regular" w:hAnsi="Ping LCG Regular" w:cstheme="minorHAnsi"/>
          <w:spacing w:val="-1"/>
          <w:lang w:bidi="el-GR"/>
        </w:rPr>
        <w:t xml:space="preserve"> </w:t>
      </w:r>
      <w:r w:rsidRPr="00957B71">
        <w:rPr>
          <w:rFonts w:ascii="Ping LCG Regular" w:hAnsi="Ping LCG Regular" w:cstheme="minorHAnsi"/>
          <w:spacing w:val="-1"/>
        </w:rPr>
        <w:t xml:space="preserve">θα αχθεί σε πίστωση του λογαριασμού </w:t>
      </w:r>
      <w:r w:rsidR="00E152A5" w:rsidRPr="00957B71">
        <w:rPr>
          <w:rFonts w:ascii="Ping LCG Regular" w:hAnsi="Ping LCG Regular" w:cstheme="minorHAnsi"/>
          <w:spacing w:val="-1"/>
        </w:rPr>
        <w:t>των ιδίων κεφαλαίων της Εταιρείας</w:t>
      </w:r>
      <w:r w:rsidRPr="00957B71">
        <w:rPr>
          <w:rFonts w:ascii="Ping LCG Regular" w:hAnsi="Ping LCG Regular" w:cstheme="minorHAnsi"/>
          <w:spacing w:val="-1"/>
        </w:rPr>
        <w:t xml:space="preserve"> «Διαφορά από την έκδοση μετοχών υπέρ το άρτιο».</w:t>
      </w:r>
    </w:p>
    <w:p w14:paraId="639E1F24" w14:textId="148647F3" w:rsidR="00EF5E0F" w:rsidRPr="00957B71" w:rsidRDefault="00EF5E0F" w:rsidP="00D66669">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Συνεπώς, το μετοχικό κεφάλαιο της Εταιρείας ανέρχεται στο ποσό των €</w:t>
      </w:r>
      <w:r w:rsidR="00204851" w:rsidRPr="00957B71">
        <w:rPr>
          <w:rFonts w:ascii="Ping LCG Regular" w:hAnsi="Ping LCG Regular" w:cstheme="minorHAnsi"/>
          <w:spacing w:val="-1"/>
        </w:rPr>
        <w:t>1.481.</w:t>
      </w:r>
      <w:r w:rsidR="00CC76E1" w:rsidRPr="00957B71">
        <w:rPr>
          <w:rFonts w:ascii="Ping LCG Regular" w:hAnsi="Ping LCG Regular" w:cstheme="minorHAnsi"/>
          <w:spacing w:val="-1"/>
        </w:rPr>
        <w:t>543.</w:t>
      </w:r>
      <w:r w:rsidR="00324AAF" w:rsidRPr="00957B71">
        <w:rPr>
          <w:rFonts w:ascii="Ping LCG Regular" w:hAnsi="Ping LCG Regular" w:cstheme="minorHAnsi"/>
          <w:spacing w:val="-1"/>
        </w:rPr>
        <w:t>758,96</w:t>
      </w:r>
      <w:r w:rsidRPr="00957B71">
        <w:rPr>
          <w:rFonts w:ascii="Ping LCG Regular" w:hAnsi="Ping LCG Regular" w:cstheme="minorHAnsi"/>
          <w:spacing w:val="-1"/>
        </w:rPr>
        <w:t xml:space="preserve">, διαιρούμενο σε </w:t>
      </w:r>
      <w:r w:rsidR="00EB4072" w:rsidRPr="00957B71">
        <w:rPr>
          <w:rFonts w:ascii="Ping LCG Regular" w:hAnsi="Ping LCG Regular" w:cstheme="minorHAnsi"/>
          <w:spacing w:val="-1"/>
        </w:rPr>
        <w:t>597.396.677</w:t>
      </w:r>
      <w:r w:rsidR="00BB6156" w:rsidRPr="00957B71">
        <w:rPr>
          <w:rFonts w:ascii="Ping LCG Regular" w:hAnsi="Ping LCG Regular" w:cstheme="minorHAnsi"/>
          <w:spacing w:val="-1"/>
        </w:rPr>
        <w:t xml:space="preserve"> </w:t>
      </w:r>
      <w:r w:rsidR="00E152A5" w:rsidRPr="00957B71">
        <w:rPr>
          <w:rFonts w:ascii="Ping LCG Regular" w:hAnsi="Ping LCG Regular" w:cstheme="minorHAnsi"/>
          <w:spacing w:val="-1"/>
        </w:rPr>
        <w:t>κοινές</w:t>
      </w:r>
      <w:r w:rsidR="000342ED" w:rsidRPr="00957B71">
        <w:rPr>
          <w:rFonts w:ascii="Ping LCG Regular" w:hAnsi="Ping LCG Regular" w:cstheme="minorHAnsi"/>
          <w:spacing w:val="-1"/>
        </w:rPr>
        <w:t>,</w:t>
      </w:r>
      <w:r w:rsidR="00E152A5" w:rsidRPr="00957B71">
        <w:rPr>
          <w:rFonts w:ascii="Ping LCG Regular" w:hAnsi="Ping LCG Regular" w:cstheme="minorHAnsi"/>
          <w:spacing w:val="-1"/>
        </w:rPr>
        <w:t xml:space="preserve"> </w:t>
      </w:r>
      <w:r w:rsidRPr="00957B71">
        <w:rPr>
          <w:rFonts w:ascii="Ping LCG Regular" w:hAnsi="Ping LCG Regular" w:cstheme="minorHAnsi"/>
          <w:spacing w:val="-1"/>
        </w:rPr>
        <w:t>ονομαστικές</w:t>
      </w:r>
      <w:r w:rsidR="000342ED" w:rsidRPr="00957B71">
        <w:rPr>
          <w:rFonts w:ascii="Ping LCG Regular" w:hAnsi="Ping LCG Regular" w:cstheme="minorHAnsi"/>
          <w:spacing w:val="-1"/>
        </w:rPr>
        <w:t>, μετά ψήφου</w:t>
      </w:r>
      <w:r w:rsidRPr="00957B71">
        <w:rPr>
          <w:rFonts w:ascii="Ping LCG Regular" w:hAnsi="Ping LCG Regular" w:cstheme="minorHAnsi"/>
          <w:spacing w:val="-1"/>
        </w:rPr>
        <w:t xml:space="preserve"> μετοχές, ονομαστικής αξίας</w:t>
      </w:r>
      <w:r w:rsidR="00E2294A" w:rsidRPr="00957B71">
        <w:rPr>
          <w:rFonts w:ascii="Ping LCG Regular" w:hAnsi="Ping LCG Regular" w:cstheme="minorHAnsi"/>
          <w:spacing w:val="-1"/>
        </w:rPr>
        <w:t xml:space="preserve"> </w:t>
      </w:r>
      <w:r w:rsidRPr="00957B71">
        <w:rPr>
          <w:rFonts w:ascii="Ping LCG Regular" w:hAnsi="Ping LCG Regular" w:cstheme="minorHAnsi"/>
          <w:spacing w:val="-1"/>
        </w:rPr>
        <w:t>€</w:t>
      </w:r>
      <w:r w:rsidR="00BB6156" w:rsidRPr="00957B71">
        <w:rPr>
          <w:rFonts w:ascii="Ping LCG Regular" w:hAnsi="Ping LCG Regular" w:cstheme="minorHAnsi"/>
          <w:spacing w:val="-1"/>
        </w:rPr>
        <w:t>2</w:t>
      </w:r>
      <w:r w:rsidR="00E2294A" w:rsidRPr="00957B71">
        <w:rPr>
          <w:rFonts w:ascii="Ping LCG Regular" w:hAnsi="Ping LCG Regular" w:cstheme="minorHAnsi"/>
          <w:spacing w:val="-1"/>
        </w:rPr>
        <w:t>,</w:t>
      </w:r>
      <w:r w:rsidR="00BB6156" w:rsidRPr="00957B71">
        <w:rPr>
          <w:rFonts w:ascii="Ping LCG Regular" w:hAnsi="Ping LCG Regular" w:cstheme="minorHAnsi"/>
          <w:spacing w:val="-1"/>
        </w:rPr>
        <w:t>48</w:t>
      </w:r>
      <w:r w:rsidRPr="00957B71">
        <w:rPr>
          <w:rFonts w:ascii="Ping LCG Regular" w:hAnsi="Ping LCG Regular" w:cstheme="minorHAnsi"/>
          <w:spacing w:val="-1"/>
        </w:rPr>
        <w:t xml:space="preserve"> η κάθε μία.</w:t>
      </w:r>
    </w:p>
    <w:p w14:paraId="551B34B0" w14:textId="24228246" w:rsidR="00E2294A" w:rsidRPr="00957B71" w:rsidRDefault="0008062C"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Οι</w:t>
      </w:r>
      <w:r w:rsidR="00E2294A" w:rsidRPr="00957B71">
        <w:rPr>
          <w:rFonts w:ascii="Ping LCG Regular" w:hAnsi="Ping LCG Regular" w:cstheme="minorHAnsi"/>
          <w:spacing w:val="-1"/>
        </w:rPr>
        <w:t xml:space="preserve"> Συντονιστές Τοποθέτησης δεν ανέλαβαν καμία δέσμευση ανάληψης τυχόν αδιάθετων Νέων Μετοχών</w:t>
      </w:r>
      <w:r w:rsidR="00D876A0" w:rsidRPr="00957B71">
        <w:rPr>
          <w:rFonts w:ascii="Ping LCG Regular" w:hAnsi="Ping LCG Regular" w:cstheme="minorHAnsi"/>
          <w:spacing w:val="-1"/>
        </w:rPr>
        <w:t xml:space="preserve"> ούτε</w:t>
      </w:r>
      <w:r w:rsidR="00E2294A" w:rsidRPr="00957B71">
        <w:rPr>
          <w:rFonts w:ascii="Ping LCG Regular" w:hAnsi="Ping LCG Regular" w:cstheme="minorHAnsi"/>
          <w:spacing w:val="-1"/>
        </w:rPr>
        <w:t xml:space="preserve"> υπέβαλαν αιτήσεις εγγραφής στην Ελληνική Δημόσια Προσφορά για ίδιο λογαριασμό, με την εξαίρεση των:</w:t>
      </w:r>
    </w:p>
    <w:p w14:paraId="191DFCA2" w14:textId="062EC9A5" w:rsidR="007A169F" w:rsidRPr="00957B71" w:rsidRDefault="007A169F" w:rsidP="007A169F">
      <w:pPr>
        <w:pStyle w:val="BodyText"/>
        <w:numPr>
          <w:ilvl w:val="0"/>
          <w:numId w:val="4"/>
        </w:numPr>
        <w:spacing w:after="120" w:line="259" w:lineRule="auto"/>
        <w:ind w:right="110"/>
        <w:jc w:val="both"/>
        <w:rPr>
          <w:rFonts w:ascii="Ping LCG Regular" w:hAnsi="Ping LCG Regular" w:cstheme="minorHAnsi"/>
          <w:spacing w:val="-1"/>
        </w:rPr>
      </w:pPr>
      <w:proofErr w:type="spellStart"/>
      <w:r w:rsidRPr="00957B71">
        <w:rPr>
          <w:rFonts w:ascii="Ping LCG Regular" w:hAnsi="Ping LCG Regular" w:cstheme="minorHAnsi"/>
          <w:spacing w:val="-1"/>
        </w:rPr>
        <w:t>Eurobank</w:t>
      </w:r>
      <w:proofErr w:type="spellEnd"/>
      <w:r w:rsidRPr="00957B71">
        <w:rPr>
          <w:rFonts w:ascii="Ping LCG Regular" w:hAnsi="Ping LCG Regular" w:cstheme="minorHAnsi"/>
          <w:spacing w:val="-1"/>
        </w:rPr>
        <w:t xml:space="preserve"> Α.Ε.,</w:t>
      </w:r>
      <w:r w:rsidRPr="00957B71">
        <w:rPr>
          <w:rFonts w:ascii="Ping LCG Regular" w:hAnsi="Ping LCG Regular"/>
        </w:rPr>
        <w:t xml:space="preserve"> στην οποία κατανεμήθηκαν 20.784 Νέες Μετοχές</w:t>
      </w:r>
      <w:r w:rsidRPr="00957B71">
        <w:rPr>
          <w:rFonts w:ascii="Ping LCG Regular" w:hAnsi="Ping LCG Regular" w:cstheme="minorHAnsi"/>
          <w:spacing w:val="-1"/>
        </w:rPr>
        <w:t>,</w:t>
      </w:r>
    </w:p>
    <w:p w14:paraId="2E718E45" w14:textId="73785D75" w:rsidR="007A169F" w:rsidRPr="00957B71" w:rsidRDefault="007A169F" w:rsidP="007A169F">
      <w:pPr>
        <w:pStyle w:val="BodyText"/>
        <w:numPr>
          <w:ilvl w:val="0"/>
          <w:numId w:val="4"/>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Euroxx Χρηματιστηριακή Α.Ε.Π.Ε.Υ., </w:t>
      </w:r>
      <w:r w:rsidR="00B400D5" w:rsidRPr="00B400D5">
        <w:rPr>
          <w:rFonts w:ascii="Ping LCG Regular" w:hAnsi="Ping LCG Regular" w:cstheme="minorHAnsi"/>
          <w:spacing w:val="-1"/>
        </w:rPr>
        <w:t>στην οποία κατανεμήθηκαν 1.044.030 Νέες Μετοχές (εκ των οποίων 1.027.748 Νέες Μετοχές λόγω μη εκκαθαρισμένων συναλλαγών)</w:t>
      </w:r>
      <w:r w:rsidRPr="00957B71">
        <w:rPr>
          <w:rFonts w:ascii="Ping LCG Regular" w:hAnsi="Ping LCG Regular" w:cstheme="minorHAnsi"/>
          <w:spacing w:val="-1"/>
        </w:rPr>
        <w:t>,</w:t>
      </w:r>
    </w:p>
    <w:p w14:paraId="556BC87A" w14:textId="64A027CA" w:rsidR="007A169F" w:rsidRPr="00957B71" w:rsidRDefault="00310358" w:rsidP="007A169F">
      <w:pPr>
        <w:pStyle w:val="BodyText"/>
        <w:numPr>
          <w:ilvl w:val="0"/>
          <w:numId w:val="4"/>
        </w:numPr>
        <w:spacing w:after="120" w:line="259" w:lineRule="auto"/>
        <w:ind w:right="110"/>
        <w:jc w:val="both"/>
        <w:rPr>
          <w:rFonts w:ascii="Ping LCG Regular" w:hAnsi="Ping LCG Regular" w:cstheme="minorHAnsi"/>
          <w:spacing w:val="-1"/>
        </w:rPr>
      </w:pPr>
      <w:r>
        <w:rPr>
          <w:rFonts w:ascii="Ping LCG Regular" w:hAnsi="Ping LCG Regular" w:cstheme="minorHAnsi"/>
          <w:spacing w:val="-1"/>
        </w:rPr>
        <w:t xml:space="preserve">Τράπεζα </w:t>
      </w:r>
      <w:r w:rsidR="007A169F" w:rsidRPr="00957B71">
        <w:rPr>
          <w:rFonts w:ascii="Ping LCG Regular" w:hAnsi="Ping LCG Regular" w:cstheme="minorHAnsi"/>
          <w:spacing w:val="-1"/>
          <w:lang w:val="en-US"/>
        </w:rPr>
        <w:t>Optima</w:t>
      </w:r>
      <w:r w:rsidR="007A169F" w:rsidRPr="00957B71">
        <w:rPr>
          <w:rFonts w:ascii="Ping LCG Regular" w:hAnsi="Ping LCG Regular" w:cstheme="minorHAnsi"/>
          <w:spacing w:val="-1"/>
        </w:rPr>
        <w:t xml:space="preserve"> </w:t>
      </w:r>
      <w:r w:rsidR="007A169F" w:rsidRPr="00957B71">
        <w:rPr>
          <w:rFonts w:ascii="Ping LCG Regular" w:hAnsi="Ping LCG Regular" w:cstheme="minorHAnsi"/>
          <w:spacing w:val="-1"/>
          <w:lang w:val="en-US"/>
        </w:rPr>
        <w:t>bank</w:t>
      </w:r>
      <w:r w:rsidR="007A169F" w:rsidRPr="00957B71">
        <w:rPr>
          <w:rFonts w:ascii="Ping LCG Regular" w:hAnsi="Ping LCG Regular" w:cstheme="minorHAnsi"/>
          <w:spacing w:val="-1"/>
        </w:rPr>
        <w:t xml:space="preserve"> </w:t>
      </w:r>
      <w:r w:rsidR="007A169F" w:rsidRPr="00957B71">
        <w:rPr>
          <w:rFonts w:ascii="Ping LCG Regular" w:hAnsi="Ping LCG Regular" w:cstheme="minorHAnsi"/>
          <w:spacing w:val="-1"/>
          <w:lang w:val="en-US"/>
        </w:rPr>
        <w:t>A</w:t>
      </w:r>
      <w:r w:rsidR="007A169F" w:rsidRPr="00957B71">
        <w:rPr>
          <w:rFonts w:ascii="Ping LCG Regular" w:hAnsi="Ping LCG Regular" w:cstheme="minorHAnsi"/>
          <w:spacing w:val="-1"/>
        </w:rPr>
        <w:t>.</w:t>
      </w:r>
      <w:r w:rsidR="007A169F" w:rsidRPr="00957B71">
        <w:rPr>
          <w:rFonts w:ascii="Ping LCG Regular" w:hAnsi="Ping LCG Regular" w:cstheme="minorHAnsi"/>
          <w:spacing w:val="-1"/>
          <w:lang w:val="en-US"/>
        </w:rPr>
        <w:t>E</w:t>
      </w:r>
      <w:r w:rsidR="007A169F" w:rsidRPr="00957B71">
        <w:rPr>
          <w:rFonts w:ascii="Ping LCG Regular" w:hAnsi="Ping LCG Regular" w:cstheme="minorHAnsi"/>
          <w:spacing w:val="-1"/>
        </w:rPr>
        <w:t>.,</w:t>
      </w:r>
      <w:r w:rsidR="007A169F" w:rsidRPr="00957B71">
        <w:rPr>
          <w:rFonts w:ascii="Ping LCG Regular" w:hAnsi="Ping LCG Regular"/>
        </w:rPr>
        <w:t xml:space="preserve"> </w:t>
      </w:r>
      <w:r w:rsidR="007A169F" w:rsidRPr="00957B71">
        <w:rPr>
          <w:rFonts w:ascii="Ping LCG Regular" w:hAnsi="Ping LCG Regular" w:cstheme="minorHAnsi"/>
          <w:spacing w:val="-1"/>
        </w:rPr>
        <w:t>στην οποία κατανεμήθηκαν 83.445 Νέες Μετοχές.</w:t>
      </w:r>
    </w:p>
    <w:p w14:paraId="2230175E" w14:textId="61043FC5" w:rsidR="009400CB" w:rsidRPr="00957B71" w:rsidRDefault="009400CB" w:rsidP="009400CB">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Τα συνολικά έσοδα της Εταιρείας που </w:t>
      </w:r>
      <w:r w:rsidR="0056202D" w:rsidRPr="00957B71">
        <w:rPr>
          <w:rFonts w:ascii="Ping LCG Regular" w:hAnsi="Ping LCG Regular" w:cstheme="minorHAnsi"/>
          <w:spacing w:val="-1"/>
        </w:rPr>
        <w:t>αντλήθηκαν</w:t>
      </w:r>
      <w:r w:rsidRPr="00957B71">
        <w:rPr>
          <w:rFonts w:ascii="Ping LCG Regular" w:hAnsi="Ping LCG Regular" w:cstheme="minorHAnsi"/>
          <w:spacing w:val="-1"/>
        </w:rPr>
        <w:t xml:space="preserve"> από τη Συνδυασμένη Προσφορά, πριν αφαιρεθούν τα έξοδα της Συνδυασμένης Προσφοράς, ανέρχονται σε</w:t>
      </w:r>
      <w:r w:rsidR="00C87350" w:rsidRPr="00957B71">
        <w:rPr>
          <w:rFonts w:ascii="Ping LCG Regular" w:hAnsi="Ping LCG Regular" w:cstheme="minorHAnsi"/>
          <w:spacing w:val="-1"/>
        </w:rPr>
        <w:t xml:space="preserve"> περίπου</w:t>
      </w:r>
      <w:r w:rsidRPr="00957B71">
        <w:rPr>
          <w:rFonts w:ascii="Ping LCG Regular" w:hAnsi="Ping LCG Regular" w:cstheme="minorHAnsi"/>
          <w:spacing w:val="-1"/>
        </w:rPr>
        <w:t xml:space="preserve"> €</w:t>
      </w:r>
      <w:r w:rsidR="007505EF" w:rsidRPr="00957B71">
        <w:rPr>
          <w:rFonts w:ascii="Ping LCG Regular" w:hAnsi="Ping LCG Regular" w:cstheme="minorHAnsi"/>
          <w:spacing w:val="-1"/>
        </w:rPr>
        <w:t>4</w:t>
      </w:r>
      <w:r w:rsidR="008F2A94" w:rsidRPr="00957B71">
        <w:rPr>
          <w:rFonts w:ascii="Ping LCG Regular" w:hAnsi="Ping LCG Regular" w:cstheme="minorHAnsi"/>
          <w:spacing w:val="-1"/>
        </w:rPr>
        <w:t>.</w:t>
      </w:r>
      <w:r w:rsidR="00303B6D" w:rsidRPr="00957B71">
        <w:rPr>
          <w:rFonts w:ascii="Ping LCG Regular" w:hAnsi="Ping LCG Regular" w:cstheme="minorHAnsi"/>
          <w:spacing w:val="-1"/>
        </w:rPr>
        <w:t>2</w:t>
      </w:r>
      <w:r w:rsidR="004C5AAC" w:rsidRPr="00957B71">
        <w:rPr>
          <w:rFonts w:ascii="Ping LCG Regular" w:hAnsi="Ping LCG Regular" w:cstheme="minorHAnsi"/>
          <w:spacing w:val="-1"/>
        </w:rPr>
        <w:t>50</w:t>
      </w:r>
      <w:r w:rsidR="00CA5580" w:rsidRPr="00957B71">
        <w:rPr>
          <w:rFonts w:ascii="Ping LCG Regular" w:hAnsi="Ping LCG Regular" w:cstheme="minorHAnsi"/>
          <w:spacing w:val="-1"/>
        </w:rPr>
        <w:t xml:space="preserve"> </w:t>
      </w:r>
      <w:r w:rsidR="00D86A38" w:rsidRPr="00957B71">
        <w:rPr>
          <w:rFonts w:ascii="Ping LCG Regular" w:hAnsi="Ping LCG Regular" w:cstheme="minorHAnsi"/>
          <w:spacing w:val="-1"/>
        </w:rPr>
        <w:t>εκατ.</w:t>
      </w:r>
      <w:r w:rsidR="00576A4A" w:rsidRPr="00957B71">
        <w:rPr>
          <w:rFonts w:ascii="Ping LCG Regular" w:hAnsi="Ping LCG Regular" w:cstheme="minorHAnsi"/>
          <w:spacing w:val="-1"/>
        </w:rPr>
        <w:t xml:space="preserve"> </w:t>
      </w:r>
      <w:r w:rsidRPr="00957B71">
        <w:rPr>
          <w:rFonts w:ascii="Ping LCG Regular" w:hAnsi="Ping LCG Regular" w:cstheme="minorHAnsi"/>
          <w:spacing w:val="-1"/>
        </w:rPr>
        <w:t>(</w:t>
      </w:r>
      <w:r w:rsidR="0080789F" w:rsidRPr="00957B71">
        <w:rPr>
          <w:rFonts w:ascii="Ping LCG Regular" w:hAnsi="Ping LCG Regular" w:cstheme="minorHAnsi"/>
          <w:spacing w:val="-1"/>
        </w:rPr>
        <w:t>228.126.677</w:t>
      </w:r>
      <w:r w:rsidR="00576A4A" w:rsidRPr="00957B71">
        <w:rPr>
          <w:rFonts w:ascii="Ping LCG Regular" w:hAnsi="Ping LCG Regular" w:cstheme="minorHAnsi"/>
          <w:spacing w:val="-1"/>
        </w:rPr>
        <w:t xml:space="preserve"> </w:t>
      </w:r>
      <w:r w:rsidRPr="00957B71">
        <w:rPr>
          <w:rFonts w:ascii="Ping LCG Regular" w:hAnsi="Ping LCG Regular" w:cstheme="minorHAnsi"/>
          <w:spacing w:val="-1"/>
        </w:rPr>
        <w:t>Νέες Μετοχές</w:t>
      </w:r>
      <w:r w:rsidR="0057464A" w:rsidRPr="00957B71">
        <w:rPr>
          <w:rFonts w:ascii="Ping LCG Regular" w:hAnsi="Ping LCG Regular" w:cstheme="minorHAnsi"/>
          <w:spacing w:val="-1"/>
        </w:rPr>
        <w:t xml:space="preserve"> στην Τιμή Διάθεσης</w:t>
      </w:r>
      <w:r w:rsidRPr="00957B71">
        <w:rPr>
          <w:rFonts w:ascii="Ping LCG Regular" w:hAnsi="Ping LCG Regular" w:cstheme="minorHAnsi"/>
          <w:spacing w:val="-1"/>
        </w:rPr>
        <w:t>).</w:t>
      </w:r>
    </w:p>
    <w:p w14:paraId="4FD34858" w14:textId="208189BB" w:rsidR="004700F1" w:rsidRPr="00957B71" w:rsidRDefault="00E2294A"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 xml:space="preserve">Τα καθαρά </w:t>
      </w:r>
      <w:proofErr w:type="spellStart"/>
      <w:r w:rsidRPr="00957B71">
        <w:rPr>
          <w:rFonts w:ascii="Ping LCG Regular" w:hAnsi="Ping LCG Regular" w:cstheme="minorHAnsi"/>
          <w:spacing w:val="-1"/>
        </w:rPr>
        <w:t>αντληθέντα</w:t>
      </w:r>
      <w:proofErr w:type="spellEnd"/>
      <w:r w:rsidRPr="00957B71">
        <w:rPr>
          <w:rFonts w:ascii="Ping LCG Regular" w:hAnsi="Ping LCG Regular" w:cstheme="minorHAnsi"/>
          <w:spacing w:val="-1"/>
        </w:rPr>
        <w:t xml:space="preserve"> κεφάλαια από </w:t>
      </w:r>
      <w:r w:rsidR="00D66669" w:rsidRPr="00957B71">
        <w:rPr>
          <w:rFonts w:ascii="Ping LCG Regular" w:hAnsi="Ping LCG Regular" w:cstheme="minorHAnsi"/>
          <w:spacing w:val="-1"/>
        </w:rPr>
        <w:t>τη Συνδυασμένη Προσφορά</w:t>
      </w:r>
      <w:r w:rsidRPr="00957B71">
        <w:rPr>
          <w:rFonts w:ascii="Ping LCG Regular" w:hAnsi="Ping LCG Regular" w:cstheme="minorHAnsi"/>
          <w:spacing w:val="-1"/>
        </w:rPr>
        <w:t>, μετά την αφαίρεση των εκτιμώμενων δαπανών έκδοσης ποσού περίπου €</w:t>
      </w:r>
      <w:r w:rsidR="00F33654" w:rsidRPr="00957B71">
        <w:rPr>
          <w:rFonts w:ascii="Ping LCG Regular" w:hAnsi="Ping LCG Regular" w:cstheme="minorHAnsi"/>
          <w:spacing w:val="-1"/>
        </w:rPr>
        <w:t>12</w:t>
      </w:r>
      <w:r w:rsidR="00053779" w:rsidRPr="00957B71">
        <w:rPr>
          <w:rFonts w:ascii="Ping LCG Regular" w:hAnsi="Ping LCG Regular" w:cstheme="minorHAnsi"/>
          <w:spacing w:val="-1"/>
        </w:rPr>
        <w:t>8,00</w:t>
      </w:r>
      <w:r w:rsidRPr="00957B71">
        <w:rPr>
          <w:rFonts w:ascii="Ping LCG Regular" w:hAnsi="Ping LCG Regular" w:cstheme="minorHAnsi"/>
          <w:spacing w:val="-1"/>
        </w:rPr>
        <w:t xml:space="preserve"> εκατ. (προ ΦΠΑ), ανήλθαν σε </w:t>
      </w:r>
      <w:r w:rsidR="00D54879" w:rsidRPr="00957B71">
        <w:rPr>
          <w:rFonts w:ascii="Ping LCG Regular" w:hAnsi="Ping LCG Regular" w:cstheme="minorHAnsi"/>
          <w:spacing w:val="-1"/>
        </w:rPr>
        <w:t xml:space="preserve">περίπου </w:t>
      </w:r>
      <w:r w:rsidRPr="00957B71">
        <w:rPr>
          <w:rFonts w:ascii="Ping LCG Regular" w:hAnsi="Ping LCG Regular" w:cstheme="minorHAnsi"/>
          <w:spacing w:val="-1"/>
        </w:rPr>
        <w:t>€</w:t>
      </w:r>
      <w:r w:rsidR="0057464A" w:rsidRPr="00957B71">
        <w:rPr>
          <w:rFonts w:ascii="Ping LCG Regular" w:hAnsi="Ping LCG Regular" w:cstheme="minorHAnsi"/>
          <w:spacing w:val="-1"/>
        </w:rPr>
        <w:t>4</w:t>
      </w:r>
      <w:r w:rsidR="00400D34" w:rsidRPr="00957B71">
        <w:rPr>
          <w:rFonts w:ascii="Ping LCG Regular" w:hAnsi="Ping LCG Regular" w:cstheme="minorHAnsi"/>
          <w:spacing w:val="-1"/>
        </w:rPr>
        <w:t>.</w:t>
      </w:r>
      <w:r w:rsidR="0057464A" w:rsidRPr="00957B71">
        <w:rPr>
          <w:rFonts w:ascii="Ping LCG Regular" w:hAnsi="Ping LCG Regular" w:cstheme="minorHAnsi"/>
          <w:spacing w:val="-1"/>
        </w:rPr>
        <w:t>12</w:t>
      </w:r>
      <w:r w:rsidR="004C5AAC" w:rsidRPr="00957B71">
        <w:rPr>
          <w:rFonts w:ascii="Ping LCG Regular" w:hAnsi="Ping LCG Regular" w:cstheme="minorHAnsi"/>
          <w:spacing w:val="-1"/>
        </w:rPr>
        <w:t>2</w:t>
      </w:r>
      <w:r w:rsidR="00400D34" w:rsidRPr="00957B71">
        <w:rPr>
          <w:rFonts w:ascii="Ping LCG Regular" w:hAnsi="Ping LCG Regular" w:cstheme="minorHAnsi"/>
          <w:spacing w:val="-1"/>
        </w:rPr>
        <w:t>,</w:t>
      </w:r>
      <w:r w:rsidR="0057464A" w:rsidRPr="00957B71">
        <w:rPr>
          <w:rFonts w:ascii="Ping LCG Regular" w:hAnsi="Ping LCG Regular" w:cstheme="minorHAnsi"/>
          <w:spacing w:val="-1"/>
        </w:rPr>
        <w:t>0</w:t>
      </w:r>
      <w:r w:rsidR="00400D34" w:rsidRPr="00957B71">
        <w:rPr>
          <w:rFonts w:ascii="Ping LCG Regular" w:hAnsi="Ping LCG Regular" w:cstheme="minorHAnsi"/>
          <w:spacing w:val="-1"/>
        </w:rPr>
        <w:t xml:space="preserve"> </w:t>
      </w:r>
      <w:r w:rsidRPr="00957B71">
        <w:rPr>
          <w:rFonts w:ascii="Ping LCG Regular" w:hAnsi="Ping LCG Regular" w:cstheme="minorHAnsi"/>
          <w:spacing w:val="-1"/>
        </w:rPr>
        <w:t>εκατ.</w:t>
      </w:r>
      <w:r w:rsidR="00EB4CB6" w:rsidRPr="00957B71">
        <w:rPr>
          <w:rFonts w:ascii="Ping LCG Regular" w:hAnsi="Ping LCG Regular" w:cstheme="minorHAnsi"/>
          <w:spacing w:val="-1"/>
        </w:rPr>
        <w:t xml:space="preserve"> </w:t>
      </w:r>
      <w:r w:rsidRPr="00957B71">
        <w:rPr>
          <w:rFonts w:ascii="Ping LCG Regular" w:hAnsi="Ping LCG Regular" w:cstheme="minorHAnsi"/>
          <w:spacing w:val="-1"/>
        </w:rPr>
        <w:t xml:space="preserve">και θα </w:t>
      </w:r>
      <w:r w:rsidR="004700F1" w:rsidRPr="00957B71">
        <w:rPr>
          <w:rFonts w:ascii="Ping LCG Regular" w:hAnsi="Ping LCG Regular" w:cstheme="minorHAnsi"/>
          <w:spacing w:val="-1"/>
        </w:rPr>
        <w:t>χρησιμοποιηθούν από την Εταιρεία για την προώθηση υλοποίησης του στρατηγικού επιχειρηματικού σχεδίου και για τη χρηματοδότηση μέρους του επενδυτικού της προγράμματος ύψους περίπου €24,2 δις.</w:t>
      </w:r>
    </w:p>
    <w:p w14:paraId="4D95C29B" w14:textId="5161163E" w:rsidR="00E2294A" w:rsidRPr="00957B71" w:rsidRDefault="00D66669" w:rsidP="00BA31F5">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Η</w:t>
      </w:r>
      <w:r w:rsidR="0005042B" w:rsidRPr="00957B71">
        <w:rPr>
          <w:rFonts w:ascii="Ping LCG Regular" w:hAnsi="Ping LCG Regular" w:cstheme="minorHAnsi"/>
          <w:spacing w:val="-1"/>
        </w:rPr>
        <w:t xml:space="preserve"> </w:t>
      </w:r>
      <w:r w:rsidR="00491580" w:rsidRPr="00957B71">
        <w:rPr>
          <w:rFonts w:ascii="Ping LCG Regular" w:hAnsi="Ping LCG Regular" w:cstheme="minorHAnsi"/>
          <w:spacing w:val="-1"/>
        </w:rPr>
        <w:t>πίστωση</w:t>
      </w:r>
      <w:r w:rsidRPr="00957B71">
        <w:rPr>
          <w:rFonts w:ascii="Ping LCG Regular" w:hAnsi="Ping LCG Regular" w:cstheme="minorHAnsi"/>
          <w:spacing w:val="-1"/>
        </w:rPr>
        <w:t xml:space="preserve"> των </w:t>
      </w:r>
      <w:proofErr w:type="spellStart"/>
      <w:r w:rsidRPr="00957B71">
        <w:rPr>
          <w:rFonts w:ascii="Ping LCG Regular" w:hAnsi="Ping LCG Regular" w:cstheme="minorHAnsi"/>
          <w:spacing w:val="-1"/>
        </w:rPr>
        <w:t>Nέων</w:t>
      </w:r>
      <w:proofErr w:type="spellEnd"/>
      <w:r w:rsidRPr="00957B71">
        <w:rPr>
          <w:rFonts w:ascii="Ping LCG Regular" w:hAnsi="Ping LCG Regular" w:cstheme="minorHAnsi"/>
          <w:spacing w:val="-1"/>
        </w:rPr>
        <w:t xml:space="preserve"> Μετοχών στους λογαριασμούς αξιογράφων των δικαιούχων </w:t>
      </w:r>
      <w:r w:rsidR="004E61BC" w:rsidRPr="00957B71">
        <w:rPr>
          <w:rFonts w:ascii="Ping LCG Regular" w:hAnsi="Ping LCG Regular" w:cstheme="minorHAnsi"/>
          <w:spacing w:val="-1"/>
        </w:rPr>
        <w:t xml:space="preserve">αναμένεται να ολοκληρωθεί στις </w:t>
      </w:r>
      <w:r w:rsidR="004D3245" w:rsidRPr="00957B71">
        <w:rPr>
          <w:rFonts w:ascii="Ping LCG Regular" w:hAnsi="Ping LCG Regular" w:cstheme="minorHAnsi"/>
          <w:spacing w:val="-1"/>
        </w:rPr>
        <w:t>25</w:t>
      </w:r>
      <w:r w:rsidR="0039770B" w:rsidRPr="00957B71">
        <w:rPr>
          <w:rFonts w:ascii="Ping LCG Regular" w:hAnsi="Ping LCG Regular" w:cstheme="minorHAnsi"/>
          <w:spacing w:val="-1"/>
        </w:rPr>
        <w:t>.05.2026</w:t>
      </w:r>
      <w:r w:rsidR="00C47B9A" w:rsidRPr="00957B71">
        <w:rPr>
          <w:rFonts w:ascii="Ping LCG Regular" w:hAnsi="Ping LCG Regular" w:cstheme="minorHAnsi"/>
          <w:spacing w:val="-1"/>
        </w:rPr>
        <w:t xml:space="preserve"> </w:t>
      </w:r>
      <w:r w:rsidRPr="00957B71">
        <w:rPr>
          <w:rFonts w:ascii="Ping LCG Regular" w:hAnsi="Ping LCG Regular" w:cstheme="minorHAnsi"/>
          <w:spacing w:val="-1"/>
        </w:rPr>
        <w:t xml:space="preserve">και η </w:t>
      </w:r>
      <w:r w:rsidR="00C47B9A" w:rsidRPr="00957B71">
        <w:rPr>
          <w:rFonts w:ascii="Ping LCG Regular" w:hAnsi="Ping LCG Regular" w:cstheme="minorHAnsi"/>
          <w:spacing w:val="-1"/>
        </w:rPr>
        <w:t>διαπραγμάτευσή</w:t>
      </w:r>
      <w:r w:rsidRPr="00957B71">
        <w:rPr>
          <w:rFonts w:ascii="Ping LCG Regular" w:hAnsi="Ping LCG Regular" w:cstheme="minorHAnsi"/>
          <w:spacing w:val="-1"/>
        </w:rPr>
        <w:t xml:space="preserve"> στο </w:t>
      </w:r>
      <w:r w:rsidR="00253425" w:rsidRPr="00957B71">
        <w:rPr>
          <w:rFonts w:ascii="Ping LCG Regular" w:hAnsi="Ping LCG Regular" w:cstheme="minorHAnsi"/>
          <w:spacing w:val="-1"/>
          <w:lang w:val="en-US"/>
        </w:rPr>
        <w:t>Euronext</w:t>
      </w:r>
      <w:r w:rsidR="00253425" w:rsidRPr="00957B71">
        <w:rPr>
          <w:rFonts w:ascii="Ping LCG Regular" w:hAnsi="Ping LCG Regular" w:cstheme="minorHAnsi"/>
          <w:spacing w:val="-1"/>
        </w:rPr>
        <w:t xml:space="preserve"> </w:t>
      </w:r>
      <w:r w:rsidR="00253425" w:rsidRPr="00957B71">
        <w:rPr>
          <w:rFonts w:ascii="Ping LCG Regular" w:hAnsi="Ping LCG Regular" w:cstheme="minorHAnsi"/>
          <w:spacing w:val="-1"/>
          <w:lang w:val="en-US"/>
        </w:rPr>
        <w:t>Athens</w:t>
      </w:r>
      <w:r w:rsidRPr="00957B71">
        <w:rPr>
          <w:rFonts w:ascii="Ping LCG Regular" w:hAnsi="Ping LCG Regular" w:cstheme="minorHAnsi"/>
          <w:spacing w:val="-1"/>
        </w:rPr>
        <w:t xml:space="preserve"> </w:t>
      </w:r>
      <w:r w:rsidR="002F06CE" w:rsidRPr="00957B71">
        <w:rPr>
          <w:rFonts w:ascii="Ping LCG Regular" w:hAnsi="Ping LCG Regular" w:cstheme="minorHAnsi"/>
          <w:spacing w:val="-1"/>
        </w:rPr>
        <w:t xml:space="preserve">αναμένεται να ξεκινήσει στις </w:t>
      </w:r>
      <w:r w:rsidR="0039770B" w:rsidRPr="00957B71">
        <w:rPr>
          <w:rFonts w:ascii="Ping LCG Regular" w:hAnsi="Ping LCG Regular" w:cstheme="minorHAnsi"/>
          <w:spacing w:val="-1"/>
        </w:rPr>
        <w:t>26.0</w:t>
      </w:r>
      <w:r w:rsidR="002049D3" w:rsidRPr="00957B71">
        <w:rPr>
          <w:rFonts w:ascii="Ping LCG Regular" w:hAnsi="Ping LCG Regular" w:cstheme="minorHAnsi"/>
          <w:spacing w:val="-1"/>
        </w:rPr>
        <w:t>5</w:t>
      </w:r>
      <w:r w:rsidR="0039770B" w:rsidRPr="00957B71">
        <w:rPr>
          <w:rFonts w:ascii="Ping LCG Regular" w:hAnsi="Ping LCG Regular" w:cstheme="minorHAnsi"/>
          <w:spacing w:val="-1"/>
        </w:rPr>
        <w:t>.2026</w:t>
      </w:r>
      <w:r w:rsidRPr="00957B71">
        <w:rPr>
          <w:rFonts w:ascii="Ping LCG Regular" w:hAnsi="Ping LCG Regular" w:cstheme="minorHAnsi"/>
          <w:spacing w:val="-1"/>
        </w:rPr>
        <w:t>.</w:t>
      </w:r>
    </w:p>
    <w:p w14:paraId="2662B25D" w14:textId="46AFADA3" w:rsidR="00E2294A" w:rsidRPr="00957B71" w:rsidRDefault="00E2294A" w:rsidP="00CE3656">
      <w:pPr>
        <w:pStyle w:val="BodyText"/>
        <w:numPr>
          <w:ilvl w:val="0"/>
          <w:numId w:val="2"/>
        </w:numPr>
        <w:spacing w:after="120" w:line="259" w:lineRule="auto"/>
        <w:ind w:right="110"/>
        <w:jc w:val="both"/>
        <w:rPr>
          <w:rFonts w:ascii="Ping LCG Regular" w:hAnsi="Ping LCG Regular" w:cstheme="minorHAnsi"/>
          <w:spacing w:val="-1"/>
        </w:rPr>
      </w:pPr>
      <w:r w:rsidRPr="00957B71">
        <w:rPr>
          <w:rFonts w:ascii="Ping LCG Regular" w:hAnsi="Ping LCG Regular" w:cstheme="minorHAnsi"/>
          <w:spacing w:val="-1"/>
        </w:rPr>
        <w:t>Για περισσότερες πληροφορίες</w:t>
      </w:r>
      <w:r w:rsidR="009D24CD" w:rsidRPr="00957B71">
        <w:rPr>
          <w:rFonts w:ascii="Ping LCG Regular" w:hAnsi="Ping LCG Regular" w:cstheme="minorHAnsi"/>
          <w:spacing w:val="-1"/>
        </w:rPr>
        <w:t xml:space="preserve"> και διευκρινίσεις</w:t>
      </w:r>
      <w:r w:rsidRPr="00957B71">
        <w:rPr>
          <w:rFonts w:ascii="Ping LCG Regular" w:hAnsi="Ping LCG Regular" w:cstheme="minorHAnsi"/>
          <w:spacing w:val="-1"/>
        </w:rPr>
        <w:t xml:space="preserve"> οι κ.κ. μέτοχοι μπορούν να απευθύνονται σ</w:t>
      </w:r>
      <w:r w:rsidR="009D24CD" w:rsidRPr="00957B71">
        <w:rPr>
          <w:rFonts w:ascii="Ping LCG Regular" w:hAnsi="Ping LCG Regular" w:cstheme="minorHAnsi"/>
          <w:spacing w:val="-1"/>
        </w:rPr>
        <w:t>ε:</w:t>
      </w:r>
    </w:p>
    <w:p w14:paraId="386A4B0A" w14:textId="77777777" w:rsidR="00CE3656" w:rsidRPr="00957B71" w:rsidRDefault="00CE3656" w:rsidP="00CE3656">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Γενική Διεύθυνση Επενδυτικών Σχέσεων</w:t>
      </w:r>
    </w:p>
    <w:p w14:paraId="473AAC6D" w14:textId="77777777" w:rsidR="00CE3656" w:rsidRPr="00957B71" w:rsidRDefault="00CE3656" w:rsidP="00CE3656">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lastRenderedPageBreak/>
        <w:t xml:space="preserve">Χαλκοκονδύλη 30, 104 32 Αθήνα </w:t>
      </w:r>
    </w:p>
    <w:p w14:paraId="317D52DB" w14:textId="77777777" w:rsidR="00CE3656" w:rsidRPr="00957B71" w:rsidRDefault="00CE3656" w:rsidP="00CE3656">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Τ: +30 210 529 2153</w:t>
      </w:r>
    </w:p>
    <w:p w14:paraId="0BC2FB4B" w14:textId="77777777" w:rsidR="00CE3656" w:rsidRPr="00957B71" w:rsidRDefault="00CE3656" w:rsidP="00CE3656">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+30 210 529 3665</w:t>
      </w:r>
    </w:p>
    <w:p w14:paraId="6552B39D" w14:textId="77777777" w:rsidR="00CE3656" w:rsidRPr="00957B71" w:rsidRDefault="00CE3656" w:rsidP="00CE3656">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+30 210 529 3207</w:t>
      </w:r>
    </w:p>
    <w:p w14:paraId="37951850" w14:textId="74B881A6" w:rsidR="00CE3656" w:rsidRPr="00957B71" w:rsidRDefault="00CE3656" w:rsidP="00264142">
      <w:pPr>
        <w:pStyle w:val="BodyText"/>
        <w:spacing w:after="120" w:line="259" w:lineRule="auto"/>
        <w:ind w:left="833" w:right="110"/>
        <w:jc w:val="both"/>
        <w:rPr>
          <w:rFonts w:ascii="Ping LCG Regular" w:hAnsi="Ping LCG Regular" w:cstheme="minorHAnsi"/>
          <w:spacing w:val="-1"/>
        </w:rPr>
      </w:pPr>
      <w:r w:rsidRPr="00957B71">
        <w:rPr>
          <w:rFonts w:ascii="Ping LCG Regular" w:hAnsi="Ping LCG Regular" w:cstheme="minorHAnsi"/>
          <w:spacing w:val="-1"/>
        </w:rPr>
        <w:t>ir@ppcgroup.com</w:t>
      </w:r>
    </w:p>
    <w:p w14:paraId="3BB928D2" w14:textId="77777777" w:rsidR="00611057" w:rsidRPr="00957B71" w:rsidRDefault="00611057" w:rsidP="00264142">
      <w:pPr>
        <w:spacing w:after="120"/>
        <w:ind w:right="3482"/>
        <w:rPr>
          <w:rFonts w:ascii="Ping LCG Regular" w:hAnsi="Ping LCG Regular" w:cstheme="minorHAnsi"/>
          <w:b/>
          <w:sz w:val="20"/>
          <w:szCs w:val="20"/>
        </w:rPr>
      </w:pPr>
    </w:p>
    <w:p w14:paraId="56F5F644" w14:textId="77777777" w:rsidR="001D2096" w:rsidRPr="00957B71" w:rsidRDefault="001D2096" w:rsidP="00264142">
      <w:pPr>
        <w:spacing w:after="120"/>
        <w:ind w:right="89"/>
        <w:jc w:val="both"/>
        <w:rPr>
          <w:rFonts w:ascii="Ping LCG Regular" w:hAnsi="Ping LCG Regular" w:cstheme="minorHAnsi"/>
          <w:b/>
          <w:sz w:val="20"/>
          <w:szCs w:val="20"/>
        </w:rPr>
      </w:pPr>
    </w:p>
    <w:p w14:paraId="39BCF5FB" w14:textId="77777777" w:rsidR="000058F7" w:rsidRPr="00957B71" w:rsidRDefault="000058F7" w:rsidP="000C2BAB">
      <w:pPr>
        <w:spacing w:after="120"/>
        <w:ind w:right="89"/>
        <w:jc w:val="center"/>
        <w:rPr>
          <w:rFonts w:ascii="Ping LCG Regular" w:hAnsi="Ping LCG Regular"/>
          <w:i/>
          <w:iCs/>
          <w:sz w:val="18"/>
          <w:szCs w:val="18"/>
        </w:rPr>
      </w:pPr>
      <w:r w:rsidRPr="00957B71">
        <w:rPr>
          <w:rFonts w:ascii="Ping LCG Regular" w:hAnsi="Ping LCG Regular"/>
          <w:i/>
          <w:iCs/>
          <w:sz w:val="18"/>
          <w:szCs w:val="18"/>
        </w:rPr>
        <w:t>ΣΗΜΑΝΤΙΚΗ ΓΝΩΣΤΟΠΟΙΗΣΗ - ΑΠΟΠΟΙΗΣΗ ΕΥΘΥΝΗΣ</w:t>
      </w:r>
    </w:p>
    <w:p w14:paraId="21356BF6" w14:textId="77777777" w:rsidR="000058F7" w:rsidRPr="00957B71" w:rsidRDefault="000058F7" w:rsidP="00264142">
      <w:pPr>
        <w:spacing w:after="120"/>
        <w:ind w:right="89"/>
        <w:jc w:val="both"/>
        <w:rPr>
          <w:rFonts w:ascii="Ping LCG Regular" w:hAnsi="Ping LCG Regular"/>
          <w:i/>
          <w:iCs/>
          <w:sz w:val="18"/>
          <w:szCs w:val="18"/>
        </w:rPr>
      </w:pPr>
    </w:p>
    <w:p w14:paraId="197B84AD" w14:textId="77777777" w:rsidR="000058F7" w:rsidRPr="00957B71" w:rsidRDefault="000058F7" w:rsidP="00264142">
      <w:pPr>
        <w:spacing w:after="120"/>
        <w:ind w:right="89"/>
        <w:jc w:val="both"/>
        <w:rPr>
          <w:rFonts w:ascii="Ping LCG Regular" w:hAnsi="Ping LCG Regular"/>
          <w:i/>
          <w:iCs/>
          <w:sz w:val="18"/>
          <w:szCs w:val="18"/>
        </w:rPr>
      </w:pPr>
      <w:r w:rsidRPr="00957B71">
        <w:rPr>
          <w:rFonts w:ascii="Ping LCG Regular" w:hAnsi="Ping LCG Regular"/>
          <w:i/>
          <w:iCs/>
          <w:sz w:val="18"/>
          <w:szCs w:val="18"/>
        </w:rPr>
        <w:t xml:space="preserve">Η παρούσα ανακοίνωση αποτελεί δημόσια γνωστοποίηση προνομιακών πληροφοριών από την Εταιρεία δυνάμει του Άρθρου 17, παράγραφος 1, του Κανονισμού (ΕΕ) 596/2014. </w:t>
      </w:r>
    </w:p>
    <w:p w14:paraId="329D9F30" w14:textId="77777777" w:rsidR="000058F7" w:rsidRPr="00957B71" w:rsidRDefault="000058F7" w:rsidP="00264142">
      <w:pPr>
        <w:spacing w:after="120"/>
        <w:ind w:right="89"/>
        <w:jc w:val="both"/>
        <w:rPr>
          <w:rFonts w:ascii="Ping LCG Regular" w:hAnsi="Ping LCG Regular"/>
          <w:i/>
          <w:iCs/>
          <w:sz w:val="18"/>
          <w:szCs w:val="18"/>
        </w:rPr>
      </w:pPr>
    </w:p>
    <w:p w14:paraId="63F0D312" w14:textId="77777777" w:rsidR="000058F7" w:rsidRPr="00957B71" w:rsidRDefault="000058F7" w:rsidP="00264142">
      <w:pPr>
        <w:spacing w:after="120"/>
        <w:ind w:right="89"/>
        <w:jc w:val="both"/>
        <w:rPr>
          <w:rFonts w:ascii="Ping LCG Regular" w:hAnsi="Ping LCG Regular"/>
          <w:i/>
          <w:iCs/>
          <w:sz w:val="18"/>
          <w:szCs w:val="18"/>
        </w:rPr>
      </w:pPr>
      <w:r w:rsidRPr="00957B71">
        <w:rPr>
          <w:rFonts w:ascii="Ping LCG Regular" w:hAnsi="Ping LCG Regular"/>
          <w:i/>
          <w:iCs/>
          <w:sz w:val="18"/>
          <w:szCs w:val="18"/>
        </w:rPr>
        <w:t xml:space="preserve">Δεν μπορεί να υπάρξει διαβεβαίωση ότι η Συνδυασμένη Προσφορά θα ολοκληρωθεί ή, σε περίπτωση ολοκλήρωσής της, ως προς τους όρους υπό τους οποίους θα ολοκληρωθεί. </w:t>
      </w:r>
    </w:p>
    <w:p w14:paraId="28DE4331" w14:textId="77777777" w:rsidR="000058F7" w:rsidRPr="00957B71" w:rsidRDefault="000058F7" w:rsidP="00264142">
      <w:pPr>
        <w:spacing w:after="120"/>
        <w:ind w:right="89"/>
        <w:jc w:val="both"/>
        <w:rPr>
          <w:rFonts w:ascii="Ping LCG Regular" w:hAnsi="Ping LCG Regular"/>
          <w:i/>
          <w:iCs/>
          <w:sz w:val="18"/>
          <w:szCs w:val="18"/>
        </w:rPr>
      </w:pPr>
    </w:p>
    <w:p w14:paraId="71C4669F" w14:textId="77777777" w:rsidR="000058F7" w:rsidRPr="00957B71" w:rsidRDefault="000058F7" w:rsidP="00264142">
      <w:pPr>
        <w:spacing w:after="120"/>
        <w:ind w:right="89"/>
        <w:jc w:val="both"/>
        <w:rPr>
          <w:rFonts w:ascii="Ping LCG Regular" w:hAnsi="Ping LCG Regular"/>
          <w:i/>
          <w:iCs/>
          <w:sz w:val="18"/>
          <w:szCs w:val="18"/>
        </w:rPr>
      </w:pPr>
      <w:r w:rsidRPr="00957B71">
        <w:rPr>
          <w:rFonts w:ascii="Ping LCG Regular" w:hAnsi="Ping LCG Regular"/>
          <w:i/>
          <w:iCs/>
          <w:sz w:val="18"/>
          <w:szCs w:val="18"/>
        </w:rPr>
        <w:t xml:space="preserve">Η παρούσα ανακοίνωση δεν αποτελεί προσφορά πώλησης ή έκδοσης, ούτε πρόσκληση για υποβολή προσφοράς αγοράς ή εγγραφής, οποιωνδήποτε κινητών αξιών, συμπεριλαμβανομένων των Νέων Μετοχών, σε οποιαδήποτε δικαιοδοσία στην οποία τέτοια προσφορά ή πρόσκληση είναι παράνομη. Οι Νέες Μετοχές δεν έχουν καταχωρισθεί και δεν πρόκειται να καταχωρισθούν βάσει του US Securities Act του 1933, όπως τροποποιήθηκε (ο «Νόμος περί Κινητών Αξιών των Η.Π.Α.»), και δεν επιτρέπεται να προσφερθούν ή να πωληθούν στις Ηνωμένες Πολιτείες Αμερικής χωρίς καταχώριση βάσει του Νόμου περί Κινητών Αξιών των Η.Π.Α. ή με βάση εφαρμοστέα εξαίρεση από τις απαιτήσεις καταχώρισης του Νόμου περί Κινητών Αξιών των Η.Π.Α. Με ορισμένες εξαιρέσεις, οι Νέες Μετοχές που αναφέρονται στην παρούσα ανακοίνωση δεν δύνανται να προσφερθούν ή να πωληθούν στην Αυστραλία, Καναδά Νότια Αφρική ή Ιαπωνία ή προς, ή για λογαριασμό ή όφελος οποιουδήποτε προσώπου είναι υπήκοος, διαμένων ή κάτοικος στην Αυστραλία, Καναδά, Νότια Αφρική ή Ιαπωνία. Οι κινητές αξίες που αναφέρονται στην παρούσα δεν έχουν καταχωρηθεί ούτε θα καταχωρηθούν σύμφωνα με το Νόμο περί Κινητών Αξιών των Η.Π.Α. ή άλλο εφαρμοστέο νόμο περί κινητών αξιών στην Αυστραλία, Καναδά Νότια Αφρική ή Ιαπωνία. </w:t>
      </w:r>
    </w:p>
    <w:p w14:paraId="16A1C7F7" w14:textId="77777777" w:rsidR="000058F7" w:rsidRPr="00957B71" w:rsidRDefault="000058F7" w:rsidP="00264142">
      <w:pPr>
        <w:spacing w:after="120"/>
        <w:ind w:right="89"/>
        <w:jc w:val="both"/>
        <w:rPr>
          <w:rFonts w:ascii="Ping LCG Regular" w:hAnsi="Ping LCG Regular"/>
          <w:i/>
          <w:iCs/>
          <w:sz w:val="18"/>
          <w:szCs w:val="18"/>
        </w:rPr>
      </w:pPr>
    </w:p>
    <w:p w14:paraId="57811F47" w14:textId="77777777" w:rsidR="000058F7" w:rsidRPr="00957B71" w:rsidRDefault="000058F7" w:rsidP="00264142">
      <w:pPr>
        <w:spacing w:after="120"/>
        <w:ind w:right="89"/>
        <w:jc w:val="both"/>
        <w:rPr>
          <w:rFonts w:ascii="Ping LCG Regular" w:hAnsi="Ping LCG Regular"/>
          <w:i/>
          <w:iCs/>
          <w:sz w:val="18"/>
          <w:szCs w:val="18"/>
        </w:rPr>
      </w:pPr>
      <w:r w:rsidRPr="00957B71">
        <w:rPr>
          <w:rFonts w:ascii="Ping LCG Regular" w:hAnsi="Ping LCG Regular"/>
          <w:i/>
          <w:iCs/>
          <w:sz w:val="18"/>
          <w:szCs w:val="18"/>
        </w:rPr>
        <w:t>Στον Ευρωπαϊκό Οικονομικό Χώρο (ο «ΕΟΧ»), η παρούσα ανακοίνωση απευθύνεται αποκλειστικά σε πρόσωπα τα οποία αποτελούν «</w:t>
      </w:r>
      <w:proofErr w:type="spellStart"/>
      <w:r w:rsidRPr="00957B71">
        <w:rPr>
          <w:rFonts w:ascii="Ping LCG Regular" w:hAnsi="Ping LCG Regular"/>
          <w:i/>
          <w:iCs/>
          <w:sz w:val="18"/>
          <w:szCs w:val="18"/>
        </w:rPr>
        <w:t>Eιδικούς</w:t>
      </w:r>
      <w:proofErr w:type="spellEnd"/>
      <w:r w:rsidRPr="00957B71">
        <w:rPr>
          <w:rFonts w:ascii="Ping LCG Regular" w:hAnsi="Ping LCG Regular"/>
          <w:i/>
          <w:iCs/>
          <w:sz w:val="18"/>
          <w:szCs w:val="18"/>
        </w:rPr>
        <w:t xml:space="preserve"> </w:t>
      </w:r>
      <w:proofErr w:type="spellStart"/>
      <w:r w:rsidRPr="00957B71">
        <w:rPr>
          <w:rFonts w:ascii="Ping LCG Regular" w:hAnsi="Ping LCG Regular"/>
          <w:i/>
          <w:iCs/>
          <w:sz w:val="18"/>
          <w:szCs w:val="18"/>
        </w:rPr>
        <w:t>Eπενδυτές</w:t>
      </w:r>
      <w:proofErr w:type="spellEnd"/>
      <w:r w:rsidRPr="00957B71">
        <w:rPr>
          <w:rFonts w:ascii="Ping LCG Regular" w:hAnsi="Ping LCG Regular"/>
          <w:i/>
          <w:iCs/>
          <w:sz w:val="18"/>
          <w:szCs w:val="18"/>
        </w:rPr>
        <w:t xml:space="preserve">» κατά την έννοια του Άρθρου 2(ε) του Κανονισμού (ΕΕ) 2017/1129 (ο «Κανονισμός για το Ενημερωτικό Δελτίο»). Η παρούσα ανακοίνωση δεν αποτελεί ενημερωτικό δελτίο για τους σκοπούς του Κανονισμού για το Ενημερωτικό Δελτίο, και ως εκ τούτου δεν αποτελεί, ούτε συνιστά, δημόσια προσφορά ή διαφήμιση κινητών αξιών ή πρόσκληση για υποβολή προσφορών αγοράς κινητών αξιών κατά την έννοια του Κανονισμού για το Ενημερωτικό Δελτίο. Η παρούσα ανακοίνωση έχει καταρτισθεί βάσει της παραδοχής ότι οποιαδήποτε προσφορά των Νέων Μετοχών σε οποιοδήποτε κράτος μέλος του ΕΟΧ (έκαστο, «Σχετικό Κράτος Μέλος»), πλην της Ελλάδος, θα πραγματοποιηθεί δυνάμει εξαίρεσης βάσει του Κανονισμού για το Ενημερωτικό Δελτίο από την υποχρέωση δημοσίευσης ενημερωτικού δελτίου για τις προσφορές Νέων Μετοχών. Κατά συνέπεια, οποιοδήποτε πρόσωπο προβαίνει ή προτίθεται να προβεί σε οποιαδήποτε προσφορά Νέων Μετοχών στο εν λόγω Σχετικό Κράτος Μέλος, πλην της Ελλάδος, δύναται να το πράξει μόνον υπό συνθήκες στις οποίες δεν δημιουργείται υποχρέωση για την Εταιρεία ή οποιονδήποτε εκ των Διαχειριστών να δημοσιεύσει ενημερωτικό δελτίο δυνάμει του Άρθρου 3 του Κανονισμού για το Ενημερωτικό Δελτίο ή να συμπληρώσει ενημερωτικό δελτίο δυνάμει του Άρθρου 16 του Κανονισμού για το Ενημερωτικό Δελτίο, σε κάθε περίπτωση σε σχέση με την εν λόγω προσφορά. Ούτε η Εταιρεία ούτε οι Διαχειριστές έχουν εξουσιοδοτήσει, ούτε εξουσιοδοτούν, τη διενέργεια οποιασδήποτε προσφοράς κινητών αξιών υπό συνθήκες στις οποίες δημιουργείται υποχρέωση για την Εταιρεία ή οποιονδήποτε εκ των Διαχειριστών να δημοσιεύσει ενημερωτικό δελτίο για την εν λόγω προσφορά. </w:t>
      </w:r>
    </w:p>
    <w:p w14:paraId="0F99CAC0" w14:textId="77777777" w:rsidR="000058F7" w:rsidRPr="00957B71" w:rsidRDefault="000058F7" w:rsidP="00264142">
      <w:pPr>
        <w:spacing w:after="120"/>
        <w:ind w:right="89"/>
        <w:jc w:val="both"/>
        <w:rPr>
          <w:rFonts w:ascii="Ping LCG Regular" w:hAnsi="Ping LCG Regular"/>
          <w:i/>
          <w:iCs/>
          <w:sz w:val="18"/>
          <w:szCs w:val="18"/>
        </w:rPr>
      </w:pPr>
    </w:p>
    <w:p w14:paraId="1A03E711" w14:textId="77777777" w:rsidR="000058F7" w:rsidRPr="00957B71" w:rsidRDefault="000058F7" w:rsidP="00264142">
      <w:pPr>
        <w:spacing w:after="120"/>
        <w:ind w:right="89"/>
        <w:jc w:val="both"/>
        <w:rPr>
          <w:rFonts w:ascii="Ping LCG Regular" w:hAnsi="Ping LCG Regular"/>
          <w:i/>
          <w:iCs/>
          <w:sz w:val="18"/>
          <w:szCs w:val="18"/>
        </w:rPr>
      </w:pPr>
      <w:r w:rsidRPr="00957B71">
        <w:rPr>
          <w:rFonts w:ascii="Ping LCG Regular" w:hAnsi="Ping LCG Regular"/>
          <w:i/>
          <w:iCs/>
          <w:sz w:val="18"/>
          <w:szCs w:val="18"/>
        </w:rPr>
        <w:t xml:space="preserve">Στο Ηνωμένο Βασίλειο («ΗΒ»), η παρούσα ανακοίνωση απευθύνεται αποκλειστικά σε πρόσωπα στο ΗΒ τα οποία αποτελούν «Ειδικούς Επενδυτές», όπως ορίζονται στην παράγραφο 15 του Παραρτήματος 1 των κανονισμών </w:t>
      </w:r>
      <w:proofErr w:type="spellStart"/>
      <w:r w:rsidRPr="00957B71">
        <w:rPr>
          <w:rFonts w:ascii="Ping LCG Regular" w:hAnsi="Ping LCG Regular"/>
          <w:i/>
          <w:iCs/>
          <w:sz w:val="18"/>
          <w:szCs w:val="18"/>
        </w:rPr>
        <w:t>Public</w:t>
      </w:r>
      <w:proofErr w:type="spellEnd"/>
      <w:r w:rsidRPr="00957B71">
        <w:rPr>
          <w:rFonts w:ascii="Ping LCG Regular" w:hAnsi="Ping LCG Regular"/>
          <w:i/>
          <w:iCs/>
          <w:sz w:val="18"/>
          <w:szCs w:val="18"/>
        </w:rPr>
        <w:t xml:space="preserve"> </w:t>
      </w:r>
      <w:proofErr w:type="spellStart"/>
      <w:r w:rsidRPr="00957B71">
        <w:rPr>
          <w:rFonts w:ascii="Ping LCG Regular" w:hAnsi="Ping LCG Regular"/>
          <w:i/>
          <w:iCs/>
          <w:sz w:val="18"/>
          <w:szCs w:val="18"/>
        </w:rPr>
        <w:t>Offers</w:t>
      </w:r>
      <w:proofErr w:type="spellEnd"/>
      <w:r w:rsidRPr="00957B71">
        <w:rPr>
          <w:rFonts w:ascii="Ping LCG Regular" w:hAnsi="Ping LCG Regular"/>
          <w:i/>
          <w:iCs/>
          <w:sz w:val="18"/>
          <w:szCs w:val="18"/>
        </w:rPr>
        <w:t xml:space="preserve"> and </w:t>
      </w:r>
      <w:proofErr w:type="spellStart"/>
      <w:r w:rsidRPr="00957B71">
        <w:rPr>
          <w:rFonts w:ascii="Ping LCG Regular" w:hAnsi="Ping LCG Regular"/>
          <w:i/>
          <w:iCs/>
          <w:sz w:val="18"/>
          <w:szCs w:val="18"/>
        </w:rPr>
        <w:t>Admissions</w:t>
      </w:r>
      <w:proofErr w:type="spellEnd"/>
      <w:r w:rsidRPr="00957B71">
        <w:rPr>
          <w:rFonts w:ascii="Ping LCG Regular" w:hAnsi="Ping LCG Regular"/>
          <w:i/>
          <w:iCs/>
          <w:sz w:val="18"/>
          <w:szCs w:val="18"/>
        </w:rPr>
        <w:t xml:space="preserve"> </w:t>
      </w:r>
      <w:proofErr w:type="spellStart"/>
      <w:r w:rsidRPr="00957B71">
        <w:rPr>
          <w:rFonts w:ascii="Ping LCG Regular" w:hAnsi="Ping LCG Regular"/>
          <w:i/>
          <w:iCs/>
          <w:sz w:val="18"/>
          <w:szCs w:val="18"/>
        </w:rPr>
        <w:t>to</w:t>
      </w:r>
      <w:proofErr w:type="spellEnd"/>
      <w:r w:rsidRPr="00957B71">
        <w:rPr>
          <w:rFonts w:ascii="Ping LCG Regular" w:hAnsi="Ping LCG Regular"/>
          <w:i/>
          <w:iCs/>
          <w:sz w:val="18"/>
          <w:szCs w:val="18"/>
        </w:rPr>
        <w:t xml:space="preserve"> Trading </w:t>
      </w:r>
      <w:proofErr w:type="spellStart"/>
      <w:r w:rsidRPr="00957B71">
        <w:rPr>
          <w:rFonts w:ascii="Ping LCG Regular" w:hAnsi="Ping LCG Regular"/>
          <w:i/>
          <w:iCs/>
          <w:sz w:val="18"/>
          <w:szCs w:val="18"/>
        </w:rPr>
        <w:t>Regulations</w:t>
      </w:r>
      <w:proofErr w:type="spellEnd"/>
      <w:r w:rsidRPr="00957B71">
        <w:rPr>
          <w:rFonts w:ascii="Ping LCG Regular" w:hAnsi="Ping LCG Regular"/>
          <w:i/>
          <w:iCs/>
          <w:sz w:val="18"/>
          <w:szCs w:val="18"/>
        </w:rPr>
        <w:t xml:space="preserve"> 2024 («POATR»), τα οποία είναι πρόσωπα (i) που διαθέτουν επαγγελματική εμπειρία σε θέματα σχετικά με επενδύσεις, εμπίπτουσες στο Άρθρο 19(5) του </w:t>
      </w:r>
      <w:proofErr w:type="spellStart"/>
      <w:r w:rsidRPr="00957B71">
        <w:rPr>
          <w:rFonts w:ascii="Ping LCG Regular" w:hAnsi="Ping LCG Regular"/>
          <w:i/>
          <w:iCs/>
          <w:sz w:val="18"/>
          <w:szCs w:val="18"/>
        </w:rPr>
        <w:t>Financial</w:t>
      </w:r>
      <w:proofErr w:type="spellEnd"/>
      <w:r w:rsidRPr="00957B71">
        <w:rPr>
          <w:rFonts w:ascii="Ping LCG Regular" w:hAnsi="Ping LCG Regular"/>
          <w:i/>
          <w:iCs/>
          <w:sz w:val="18"/>
          <w:szCs w:val="18"/>
        </w:rPr>
        <w:t xml:space="preserve"> Services and </w:t>
      </w:r>
      <w:proofErr w:type="spellStart"/>
      <w:r w:rsidRPr="00957B71">
        <w:rPr>
          <w:rFonts w:ascii="Ping LCG Regular" w:hAnsi="Ping LCG Regular"/>
          <w:i/>
          <w:iCs/>
          <w:sz w:val="18"/>
          <w:szCs w:val="18"/>
        </w:rPr>
        <w:t>Markets</w:t>
      </w:r>
      <w:proofErr w:type="spellEnd"/>
      <w:r w:rsidRPr="00957B71">
        <w:rPr>
          <w:rFonts w:ascii="Ping LCG Regular" w:hAnsi="Ping LCG Regular"/>
          <w:i/>
          <w:iCs/>
          <w:sz w:val="18"/>
          <w:szCs w:val="18"/>
        </w:rPr>
        <w:t xml:space="preserve"> Act 2000 (</w:t>
      </w:r>
      <w:proofErr w:type="spellStart"/>
      <w:r w:rsidRPr="00957B71">
        <w:rPr>
          <w:rFonts w:ascii="Ping LCG Regular" w:hAnsi="Ping LCG Regular"/>
          <w:i/>
          <w:iCs/>
          <w:sz w:val="18"/>
          <w:szCs w:val="18"/>
        </w:rPr>
        <w:t>Financial</w:t>
      </w:r>
      <w:proofErr w:type="spellEnd"/>
      <w:r w:rsidRPr="00957B71">
        <w:rPr>
          <w:rFonts w:ascii="Ping LCG Regular" w:hAnsi="Ping LCG Regular"/>
          <w:i/>
          <w:iCs/>
          <w:sz w:val="18"/>
          <w:szCs w:val="18"/>
        </w:rPr>
        <w:t xml:space="preserve"> </w:t>
      </w:r>
      <w:proofErr w:type="spellStart"/>
      <w:r w:rsidRPr="00957B71">
        <w:rPr>
          <w:rFonts w:ascii="Ping LCG Regular" w:hAnsi="Ping LCG Regular"/>
          <w:i/>
          <w:iCs/>
          <w:sz w:val="18"/>
          <w:szCs w:val="18"/>
        </w:rPr>
        <w:t>Promotion</w:t>
      </w:r>
      <w:proofErr w:type="spellEnd"/>
      <w:r w:rsidRPr="00957B71">
        <w:rPr>
          <w:rFonts w:ascii="Ping LCG Regular" w:hAnsi="Ping LCG Regular"/>
          <w:i/>
          <w:iCs/>
          <w:sz w:val="18"/>
          <w:szCs w:val="18"/>
        </w:rPr>
        <w:t xml:space="preserve">) </w:t>
      </w:r>
      <w:proofErr w:type="spellStart"/>
      <w:r w:rsidRPr="00957B71">
        <w:rPr>
          <w:rFonts w:ascii="Ping LCG Regular" w:hAnsi="Ping LCG Regular"/>
          <w:i/>
          <w:iCs/>
          <w:sz w:val="18"/>
          <w:szCs w:val="18"/>
        </w:rPr>
        <w:t>Order</w:t>
      </w:r>
      <w:proofErr w:type="spellEnd"/>
      <w:r w:rsidRPr="00957B71">
        <w:rPr>
          <w:rFonts w:ascii="Ping LCG Regular" w:hAnsi="Ping LCG Regular"/>
          <w:i/>
          <w:iCs/>
          <w:sz w:val="18"/>
          <w:szCs w:val="18"/>
        </w:rPr>
        <w:t xml:space="preserve"> 2005, όπως τροποποιήθηκε (το «Διάταγμα»), (</w:t>
      </w:r>
      <w:proofErr w:type="spellStart"/>
      <w:r w:rsidRPr="00957B71">
        <w:rPr>
          <w:rFonts w:ascii="Ping LCG Regular" w:hAnsi="Ping LCG Regular"/>
          <w:i/>
          <w:iCs/>
          <w:sz w:val="18"/>
          <w:szCs w:val="18"/>
        </w:rPr>
        <w:t>ii</w:t>
      </w:r>
      <w:proofErr w:type="spellEnd"/>
      <w:r w:rsidRPr="00957B71">
        <w:rPr>
          <w:rFonts w:ascii="Ping LCG Regular" w:hAnsi="Ping LCG Regular"/>
          <w:i/>
          <w:iCs/>
          <w:sz w:val="18"/>
          <w:szCs w:val="18"/>
        </w:rPr>
        <w:t>) εμπίπτοντα στο Άρθρο 49(2)(α) έως (δ) του Διατάγματος, και/ή (</w:t>
      </w:r>
      <w:proofErr w:type="spellStart"/>
      <w:r w:rsidRPr="00957B71">
        <w:rPr>
          <w:rFonts w:ascii="Ping LCG Regular" w:hAnsi="Ping LCG Regular"/>
          <w:i/>
          <w:iCs/>
          <w:sz w:val="18"/>
          <w:szCs w:val="18"/>
        </w:rPr>
        <w:t>iii</w:t>
      </w:r>
      <w:proofErr w:type="spellEnd"/>
      <w:r w:rsidRPr="00957B71">
        <w:rPr>
          <w:rFonts w:ascii="Ping LCG Regular" w:hAnsi="Ping LCG Regular"/>
          <w:i/>
          <w:iCs/>
          <w:sz w:val="18"/>
          <w:szCs w:val="18"/>
        </w:rPr>
        <w:t>) στα οποία η εν λόγω επένδυση ή επενδυτική δραστηριότητα δύναται κατά τα λοιπά νομίμως να κοινοποιηθεί (τα ανωτέρω πρόσωπα αναφερόμενα συλλογικά ως «Σχετικά Πρόσωπα»). Η παρούσα ανακοίνωση έχει συνταχθεί βάσει της παραδοχής ότι κάθε προσφορά των Νέων Μετοχών στο Ηνωμένο Βασίλειο θα γίνει δυνάμει εξαίρεσης προβλεπόμενης από τον POATR από την απαγόρευση του POATR προσφοράς Νέων Μετοχών στο Ηνωμένο Βασίλειο. Κατά συνέπεια, κάθε πρόσωπο που προβαίνει ή προτίθεται να προβεί σε οποιαδήποτε προσφορά Νέων Μετοχών στο Ηνωμένο Βασίλειο, μπορεί να το κάνει μόνο υπό συνθήκες κατά τις οποίες η προσφορά εμπίπτει σε εξαίρεση από την απαγόρευση δημόσιων προσφορών βάσει του Μέρους 1 του Παραρτήματος 1 του POATR. Ούτε η Εταιρεία ούτε οι διαχειριστές έχουν εγκρίνει ή εγκρίνουν τη διενέργεια οποιασδήποτε προσφοράς κινητών αξιών στο Ηνωμένο Βασίλειο υπό συνθήκες κατά τις οποίες ενδέχεται να ανακύψει υποχρέωση της Εταιρείας ή οποιουδήποτε διαχειριστή να δημοσιεύσει ενημερωτικό δελτίο για την εν λόγω προσφορά.</w:t>
      </w:r>
    </w:p>
    <w:p w14:paraId="22C43D50" w14:textId="77777777" w:rsidR="000058F7" w:rsidRPr="00957B71" w:rsidRDefault="000058F7" w:rsidP="00264142">
      <w:pPr>
        <w:spacing w:after="120"/>
        <w:ind w:right="89"/>
        <w:jc w:val="both"/>
        <w:rPr>
          <w:rFonts w:ascii="Ping LCG Regular" w:hAnsi="Ping LCG Regular"/>
          <w:i/>
          <w:iCs/>
          <w:sz w:val="18"/>
          <w:szCs w:val="18"/>
        </w:rPr>
      </w:pPr>
    </w:p>
    <w:p w14:paraId="5D70DA23" w14:textId="77777777" w:rsidR="000058F7" w:rsidRPr="00957B71" w:rsidRDefault="000058F7" w:rsidP="00264142">
      <w:pPr>
        <w:spacing w:after="120"/>
        <w:ind w:right="89"/>
        <w:jc w:val="both"/>
        <w:rPr>
          <w:rFonts w:ascii="Ping LCG Regular" w:hAnsi="Ping LCG Regular"/>
          <w:i/>
          <w:iCs/>
          <w:sz w:val="18"/>
          <w:szCs w:val="18"/>
        </w:rPr>
      </w:pPr>
      <w:r w:rsidRPr="00957B71">
        <w:rPr>
          <w:rFonts w:ascii="Ping LCG Regular" w:hAnsi="Ping LCG Regular"/>
          <w:i/>
          <w:iCs/>
          <w:sz w:val="18"/>
          <w:szCs w:val="18"/>
        </w:rPr>
        <w:t>Πρόσωπα που δεν είναι «Ειδικοί Επενδυτές» στον ΕΟΧ ή Σχετικά Πρόσωπα στο Ηνωμένο Βασίλειο δεν θα πρέπει να ενεργούν ή να βασίζονται στην παρούσα ανακοίνωση ή σε οποιοδήποτε περιεχόμενό της.</w:t>
      </w:r>
    </w:p>
    <w:p w14:paraId="5C30C502" w14:textId="3CAC3FAA" w:rsidR="00DB4181" w:rsidRPr="00957B71" w:rsidRDefault="00DB4181" w:rsidP="000058F7">
      <w:pPr>
        <w:spacing w:after="120"/>
        <w:ind w:left="142" w:right="89"/>
        <w:jc w:val="both"/>
        <w:rPr>
          <w:rFonts w:ascii="Ping LCG Regular" w:hAnsi="Ping LCG Regular"/>
          <w:i/>
          <w:iCs/>
          <w:sz w:val="18"/>
          <w:szCs w:val="18"/>
        </w:rPr>
      </w:pPr>
    </w:p>
    <w:sectPr w:rsidR="00DB4181" w:rsidRPr="00957B71" w:rsidSect="00CB17AA">
      <w:headerReference w:type="default" r:id="rId20"/>
      <w:footerReference w:type="even" r:id="rId21"/>
      <w:footerReference w:type="default" r:id="rId22"/>
      <w:headerReference w:type="first" r:id="rId23"/>
      <w:pgSz w:w="11910" w:h="16840"/>
      <w:pgMar w:top="960" w:right="1020" w:bottom="851" w:left="10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9B44B" w14:textId="77777777" w:rsidR="00F8268E" w:rsidRDefault="00F8268E" w:rsidP="001D2096">
      <w:r>
        <w:separator/>
      </w:r>
    </w:p>
  </w:endnote>
  <w:endnote w:type="continuationSeparator" w:id="0">
    <w:p w14:paraId="31181016" w14:textId="77777777" w:rsidR="00F8268E" w:rsidRDefault="00F8268E" w:rsidP="001D2096">
      <w:r>
        <w:continuationSeparator/>
      </w:r>
    </w:p>
  </w:endnote>
  <w:endnote w:type="continuationNotice" w:id="1">
    <w:p w14:paraId="10ECEFB7" w14:textId="77777777" w:rsidR="00F8268E" w:rsidRDefault="00F82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 LCG Regular">
    <w:altName w:val="Calibri"/>
    <w:panose1 w:val="00000000000000000000"/>
    <w:charset w:val="00"/>
    <w:family w:val="modern"/>
    <w:notTrueType/>
    <w:pitch w:val="variable"/>
    <w:sig w:usb0="E00002FF" w:usb1="5001E4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D40C0" w14:textId="0E386B01" w:rsidR="000566FF" w:rsidRPr="000566FF" w:rsidRDefault="000566FF" w:rsidP="000566FF">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5C03B0">
      <w:rPr>
        <w:rFonts w:ascii="Tahoma" w:hAnsi="Tahoma" w:cs="Tahoma"/>
        <w:smallCaps/>
        <w:noProof/>
        <w:color w:val="404040"/>
        <w:sz w:val="16"/>
      </w:rPr>
      <w:t>PV: 3739949.8</w:t>
    </w:r>
    <w:r>
      <w:rPr>
        <w:rFonts w:ascii="Tahoma" w:hAnsi="Tahoma" w:cs="Tahoma"/>
        <w:smallCaps/>
        <w:noProof/>
        <w:color w:val="40404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DCA98" w14:textId="04C53681" w:rsidR="000566FF" w:rsidRPr="001679E7" w:rsidRDefault="00E5611E" w:rsidP="001679E7">
    <w:pPr>
      <w:pStyle w:val="Footer"/>
      <w:rPr>
        <w:rFonts w:ascii="Tahoma" w:hAnsi="Tahoma" w:cs="Tahoma"/>
        <w:smallCaps/>
        <w:noProof/>
        <w:color w:val="404040"/>
        <w:sz w:val="16"/>
      </w:rPr>
    </w:pPr>
    <w:r w:rsidRPr="0038704A">
      <w:rPr>
        <w:rFonts w:cs="Times New Roman"/>
        <w:noProof/>
        <w:lang w:val="en-US"/>
      </w:rPr>
      <w:drawing>
        <wp:anchor distT="0" distB="0" distL="114300" distR="114300" simplePos="0" relativeHeight="251658240" behindDoc="1" locked="0" layoutInCell="1" allowOverlap="1" wp14:anchorId="1CC8B33B" wp14:editId="2728E2EA">
          <wp:simplePos x="0" y="0"/>
          <wp:positionH relativeFrom="page">
            <wp:align>right</wp:align>
          </wp:positionH>
          <wp:positionV relativeFrom="page">
            <wp:align>bottom</wp:align>
          </wp:positionV>
          <wp:extent cx="7560000" cy="1080000"/>
          <wp:effectExtent l="0" t="0" r="3175" b="6350"/>
          <wp:wrapNone/>
          <wp:docPr id="20" name="Εικόνα 20"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F75DB" w14:textId="77777777" w:rsidR="00F8268E" w:rsidRDefault="00F8268E" w:rsidP="001D2096">
      <w:r>
        <w:separator/>
      </w:r>
    </w:p>
  </w:footnote>
  <w:footnote w:type="continuationSeparator" w:id="0">
    <w:p w14:paraId="71532B79" w14:textId="77777777" w:rsidR="00F8268E" w:rsidRDefault="00F8268E" w:rsidP="001D2096">
      <w:r>
        <w:continuationSeparator/>
      </w:r>
    </w:p>
  </w:footnote>
  <w:footnote w:type="continuationNotice" w:id="1">
    <w:p w14:paraId="086C0B3D" w14:textId="77777777" w:rsidR="00F8268E" w:rsidRDefault="00F826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6E8C" w14:textId="3AC018B8" w:rsidR="006262DA" w:rsidRDefault="006262DA">
    <w:pPr>
      <w:pStyle w:val="Header"/>
    </w:pPr>
    <w:r w:rsidRPr="009B5995">
      <w:rPr>
        <w:rFonts w:cs="Times New Roman"/>
        <w:noProof/>
        <w:lang w:val="en-US"/>
      </w:rPr>
      <w:drawing>
        <wp:anchor distT="0" distB="0" distL="114300" distR="114300" simplePos="0" relativeHeight="251658241" behindDoc="1" locked="0" layoutInCell="1" allowOverlap="1" wp14:anchorId="592EF5E6" wp14:editId="7681225C">
          <wp:simplePos x="0" y="0"/>
          <wp:positionH relativeFrom="page">
            <wp:align>left</wp:align>
          </wp:positionH>
          <wp:positionV relativeFrom="page">
            <wp:align>top</wp:align>
          </wp:positionV>
          <wp:extent cx="8127187" cy="1266825"/>
          <wp:effectExtent l="0" t="0" r="7620" b="0"/>
          <wp:wrapNone/>
          <wp:docPr id="1797684304" name="Εικόνα 1525200215"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a:off x="0" y="0"/>
                    <a:ext cx="8142500" cy="126921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F80E3" w14:textId="33656BDD" w:rsidR="00CB17AA" w:rsidRDefault="00F51E89">
    <w:pPr>
      <w:pStyle w:val="Header"/>
    </w:pPr>
    <w:r w:rsidRPr="009B5995">
      <w:rPr>
        <w:rFonts w:cs="Times New Roman"/>
        <w:noProof/>
        <w:lang w:val="en-US"/>
      </w:rPr>
      <w:drawing>
        <wp:anchor distT="0" distB="0" distL="114300" distR="114300" simplePos="0" relativeHeight="251660291" behindDoc="1" locked="0" layoutInCell="1" allowOverlap="1" wp14:anchorId="54E7C344" wp14:editId="5A3AFA91">
          <wp:simplePos x="0" y="0"/>
          <wp:positionH relativeFrom="page">
            <wp:posOffset>0</wp:posOffset>
          </wp:positionH>
          <wp:positionV relativeFrom="page">
            <wp:posOffset>0</wp:posOffset>
          </wp:positionV>
          <wp:extent cx="2894330" cy="1842770"/>
          <wp:effectExtent l="0" t="0" r="0" b="0"/>
          <wp:wrapNone/>
          <wp:docPr id="1592581225" name="Εικόνα 58745250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8708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94330" cy="1842770"/>
                  </a:xfrm>
                  <a:prstGeom prst="rect">
                    <a:avLst/>
                  </a:prstGeom>
                </pic:spPr>
              </pic:pic>
            </a:graphicData>
          </a:graphic>
          <wp14:sizeRelH relativeFrom="margin">
            <wp14:pctWidth>0</wp14:pctWidth>
          </wp14:sizeRelH>
          <wp14:sizeRelV relativeFrom="margin">
            <wp14:pctHeight>0</wp14:pctHeight>
          </wp14:sizeRelV>
        </wp:anchor>
      </w:drawing>
    </w:r>
    <w:r w:rsidR="00C8370B" w:rsidRPr="009B5995">
      <w:rPr>
        <w:rFonts w:cs="Times New Roman"/>
        <w:noProof/>
        <w:lang w:val="en-US"/>
      </w:rPr>
      <w:drawing>
        <wp:anchor distT="0" distB="0" distL="114300" distR="114300" simplePos="0" relativeHeight="251658243" behindDoc="1" locked="0" layoutInCell="1" allowOverlap="1" wp14:anchorId="7AF5442B" wp14:editId="16679DF6">
          <wp:simplePos x="0" y="0"/>
          <wp:positionH relativeFrom="margin">
            <wp:align>center</wp:align>
          </wp:positionH>
          <wp:positionV relativeFrom="page">
            <wp:align>top</wp:align>
          </wp:positionV>
          <wp:extent cx="8127187" cy="1266825"/>
          <wp:effectExtent l="0" t="0" r="7620" b="0"/>
          <wp:wrapNone/>
          <wp:docPr id="1323876854" name="Εικόνα 1525200215" descr="A blue and white gradi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319407" name="Picture 1" descr="A blue and white gradien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0800000" flipH="1">
                    <a:off x="0" y="0"/>
                    <a:ext cx="8127187" cy="1266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2534"/>
    <w:multiLevelType w:val="hybridMultilevel"/>
    <w:tmpl w:val="09DA6BEA"/>
    <w:lvl w:ilvl="0" w:tplc="04080001">
      <w:start w:val="1"/>
      <w:numFmt w:val="bullet"/>
      <w:lvlText w:val=""/>
      <w:lvlJc w:val="left"/>
      <w:pPr>
        <w:ind w:left="1553" w:hanging="360"/>
      </w:pPr>
      <w:rPr>
        <w:rFonts w:ascii="Symbol" w:hAnsi="Symbol" w:hint="default"/>
      </w:rPr>
    </w:lvl>
    <w:lvl w:ilvl="1" w:tplc="04080003" w:tentative="1">
      <w:start w:val="1"/>
      <w:numFmt w:val="bullet"/>
      <w:lvlText w:val="o"/>
      <w:lvlJc w:val="left"/>
      <w:pPr>
        <w:ind w:left="2273" w:hanging="360"/>
      </w:pPr>
      <w:rPr>
        <w:rFonts w:ascii="Courier New" w:hAnsi="Courier New" w:cs="Courier New" w:hint="default"/>
      </w:rPr>
    </w:lvl>
    <w:lvl w:ilvl="2" w:tplc="04080005" w:tentative="1">
      <w:start w:val="1"/>
      <w:numFmt w:val="bullet"/>
      <w:lvlText w:val=""/>
      <w:lvlJc w:val="left"/>
      <w:pPr>
        <w:ind w:left="2993" w:hanging="360"/>
      </w:pPr>
      <w:rPr>
        <w:rFonts w:ascii="Wingdings" w:hAnsi="Wingdings" w:hint="default"/>
      </w:rPr>
    </w:lvl>
    <w:lvl w:ilvl="3" w:tplc="04080001" w:tentative="1">
      <w:start w:val="1"/>
      <w:numFmt w:val="bullet"/>
      <w:lvlText w:val=""/>
      <w:lvlJc w:val="left"/>
      <w:pPr>
        <w:ind w:left="3713" w:hanging="360"/>
      </w:pPr>
      <w:rPr>
        <w:rFonts w:ascii="Symbol" w:hAnsi="Symbol" w:hint="default"/>
      </w:rPr>
    </w:lvl>
    <w:lvl w:ilvl="4" w:tplc="04080003" w:tentative="1">
      <w:start w:val="1"/>
      <w:numFmt w:val="bullet"/>
      <w:lvlText w:val="o"/>
      <w:lvlJc w:val="left"/>
      <w:pPr>
        <w:ind w:left="4433" w:hanging="360"/>
      </w:pPr>
      <w:rPr>
        <w:rFonts w:ascii="Courier New" w:hAnsi="Courier New" w:cs="Courier New" w:hint="default"/>
      </w:rPr>
    </w:lvl>
    <w:lvl w:ilvl="5" w:tplc="04080005" w:tentative="1">
      <w:start w:val="1"/>
      <w:numFmt w:val="bullet"/>
      <w:lvlText w:val=""/>
      <w:lvlJc w:val="left"/>
      <w:pPr>
        <w:ind w:left="5153" w:hanging="360"/>
      </w:pPr>
      <w:rPr>
        <w:rFonts w:ascii="Wingdings" w:hAnsi="Wingdings" w:hint="default"/>
      </w:rPr>
    </w:lvl>
    <w:lvl w:ilvl="6" w:tplc="04080001" w:tentative="1">
      <w:start w:val="1"/>
      <w:numFmt w:val="bullet"/>
      <w:lvlText w:val=""/>
      <w:lvlJc w:val="left"/>
      <w:pPr>
        <w:ind w:left="5873" w:hanging="360"/>
      </w:pPr>
      <w:rPr>
        <w:rFonts w:ascii="Symbol" w:hAnsi="Symbol" w:hint="default"/>
      </w:rPr>
    </w:lvl>
    <w:lvl w:ilvl="7" w:tplc="04080003" w:tentative="1">
      <w:start w:val="1"/>
      <w:numFmt w:val="bullet"/>
      <w:lvlText w:val="o"/>
      <w:lvlJc w:val="left"/>
      <w:pPr>
        <w:ind w:left="6593" w:hanging="360"/>
      </w:pPr>
      <w:rPr>
        <w:rFonts w:ascii="Courier New" w:hAnsi="Courier New" w:cs="Courier New" w:hint="default"/>
      </w:rPr>
    </w:lvl>
    <w:lvl w:ilvl="8" w:tplc="04080005" w:tentative="1">
      <w:start w:val="1"/>
      <w:numFmt w:val="bullet"/>
      <w:lvlText w:val=""/>
      <w:lvlJc w:val="left"/>
      <w:pPr>
        <w:ind w:left="7313" w:hanging="360"/>
      </w:pPr>
      <w:rPr>
        <w:rFonts w:ascii="Wingdings" w:hAnsi="Wingdings" w:hint="default"/>
      </w:rPr>
    </w:lvl>
  </w:abstractNum>
  <w:abstractNum w:abstractNumId="1">
    <w:nsid w:val="17B354ED"/>
    <w:multiLevelType w:val="hybridMultilevel"/>
    <w:tmpl w:val="7D7C9FAE"/>
    <w:lvl w:ilvl="0" w:tplc="5CC2F424">
      <w:start w:val="1"/>
      <w:numFmt w:val="decimal"/>
      <w:lvlText w:val="%1."/>
      <w:lvlJc w:val="left"/>
      <w:pPr>
        <w:ind w:left="833" w:hanging="360"/>
      </w:pPr>
      <w:rPr>
        <w:b w:val="0"/>
        <w:bCs w:val="0"/>
      </w:rPr>
    </w:lvl>
    <w:lvl w:ilvl="1" w:tplc="04080019">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
    <w:nsid w:val="6E2B383F"/>
    <w:multiLevelType w:val="hybridMultilevel"/>
    <w:tmpl w:val="3364FA6C"/>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3">
    <w:nsid w:val="71C431CA"/>
    <w:multiLevelType w:val="hybridMultilevel"/>
    <w:tmpl w:val="7AE04224"/>
    <w:lvl w:ilvl="0" w:tplc="D22EDC7A">
      <w:numFmt w:val="bullet"/>
      <w:lvlText w:val=""/>
      <w:lvlJc w:val="left"/>
      <w:pPr>
        <w:ind w:left="833" w:hanging="360"/>
      </w:pPr>
      <w:rPr>
        <w:rFonts w:ascii="Symbol" w:eastAsia="Symbol" w:hAnsi="Symbol" w:cs="Symbol" w:hint="default"/>
        <w:w w:val="99"/>
        <w:sz w:val="20"/>
        <w:szCs w:val="20"/>
        <w:lang w:val="el-GR" w:eastAsia="en-US" w:bidi="ar-SA"/>
      </w:rPr>
    </w:lvl>
    <w:lvl w:ilvl="1" w:tplc="E51E6526">
      <w:numFmt w:val="bullet"/>
      <w:lvlText w:val="•"/>
      <w:lvlJc w:val="left"/>
      <w:pPr>
        <w:ind w:left="1742" w:hanging="360"/>
      </w:pPr>
      <w:rPr>
        <w:rFonts w:hint="default"/>
        <w:lang w:val="el-GR" w:eastAsia="en-US" w:bidi="ar-SA"/>
      </w:rPr>
    </w:lvl>
    <w:lvl w:ilvl="2" w:tplc="E556D5F6">
      <w:numFmt w:val="bullet"/>
      <w:lvlText w:val="•"/>
      <w:lvlJc w:val="left"/>
      <w:pPr>
        <w:ind w:left="2645" w:hanging="360"/>
      </w:pPr>
      <w:rPr>
        <w:rFonts w:hint="default"/>
        <w:lang w:val="el-GR" w:eastAsia="en-US" w:bidi="ar-SA"/>
      </w:rPr>
    </w:lvl>
    <w:lvl w:ilvl="3" w:tplc="C5C6CB06">
      <w:numFmt w:val="bullet"/>
      <w:lvlText w:val="•"/>
      <w:lvlJc w:val="left"/>
      <w:pPr>
        <w:ind w:left="3547" w:hanging="360"/>
      </w:pPr>
      <w:rPr>
        <w:rFonts w:hint="default"/>
        <w:lang w:val="el-GR" w:eastAsia="en-US" w:bidi="ar-SA"/>
      </w:rPr>
    </w:lvl>
    <w:lvl w:ilvl="4" w:tplc="5DBA1B84">
      <w:numFmt w:val="bullet"/>
      <w:lvlText w:val="•"/>
      <w:lvlJc w:val="left"/>
      <w:pPr>
        <w:ind w:left="4450" w:hanging="360"/>
      </w:pPr>
      <w:rPr>
        <w:rFonts w:hint="default"/>
        <w:lang w:val="el-GR" w:eastAsia="en-US" w:bidi="ar-SA"/>
      </w:rPr>
    </w:lvl>
    <w:lvl w:ilvl="5" w:tplc="140A308C">
      <w:numFmt w:val="bullet"/>
      <w:lvlText w:val="•"/>
      <w:lvlJc w:val="left"/>
      <w:pPr>
        <w:ind w:left="5353" w:hanging="360"/>
      </w:pPr>
      <w:rPr>
        <w:rFonts w:hint="default"/>
        <w:lang w:val="el-GR" w:eastAsia="en-US" w:bidi="ar-SA"/>
      </w:rPr>
    </w:lvl>
    <w:lvl w:ilvl="6" w:tplc="BCAEDAD2">
      <w:numFmt w:val="bullet"/>
      <w:lvlText w:val="•"/>
      <w:lvlJc w:val="left"/>
      <w:pPr>
        <w:ind w:left="6255" w:hanging="360"/>
      </w:pPr>
      <w:rPr>
        <w:rFonts w:hint="default"/>
        <w:lang w:val="el-GR" w:eastAsia="en-US" w:bidi="ar-SA"/>
      </w:rPr>
    </w:lvl>
    <w:lvl w:ilvl="7" w:tplc="4768B2E4">
      <w:numFmt w:val="bullet"/>
      <w:lvlText w:val="•"/>
      <w:lvlJc w:val="left"/>
      <w:pPr>
        <w:ind w:left="7158" w:hanging="360"/>
      </w:pPr>
      <w:rPr>
        <w:rFonts w:hint="default"/>
        <w:lang w:val="el-GR" w:eastAsia="en-US" w:bidi="ar-SA"/>
      </w:rPr>
    </w:lvl>
    <w:lvl w:ilvl="8" w:tplc="4EB6F080">
      <w:numFmt w:val="bullet"/>
      <w:lvlText w:val="•"/>
      <w:lvlJc w:val="left"/>
      <w:pPr>
        <w:ind w:left="8061" w:hanging="360"/>
      </w:pPr>
      <w:rPr>
        <w:rFonts w:hint="default"/>
        <w:lang w:val="el-GR"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45"/>
    <w:rsid w:val="000036DD"/>
    <w:rsid w:val="000058F7"/>
    <w:rsid w:val="000131FE"/>
    <w:rsid w:val="00016468"/>
    <w:rsid w:val="000165FC"/>
    <w:rsid w:val="000342ED"/>
    <w:rsid w:val="00036F92"/>
    <w:rsid w:val="00037D3B"/>
    <w:rsid w:val="00037FBA"/>
    <w:rsid w:val="0004160B"/>
    <w:rsid w:val="00042875"/>
    <w:rsid w:val="00046019"/>
    <w:rsid w:val="0005042B"/>
    <w:rsid w:val="00053779"/>
    <w:rsid w:val="00054E12"/>
    <w:rsid w:val="000566FF"/>
    <w:rsid w:val="000575C3"/>
    <w:rsid w:val="000600B5"/>
    <w:rsid w:val="00062394"/>
    <w:rsid w:val="00064994"/>
    <w:rsid w:val="00065388"/>
    <w:rsid w:val="00071E3F"/>
    <w:rsid w:val="0008062C"/>
    <w:rsid w:val="00085981"/>
    <w:rsid w:val="000874F7"/>
    <w:rsid w:val="0008796A"/>
    <w:rsid w:val="00091407"/>
    <w:rsid w:val="00092A56"/>
    <w:rsid w:val="00094BDB"/>
    <w:rsid w:val="00096B05"/>
    <w:rsid w:val="000A1596"/>
    <w:rsid w:val="000B0676"/>
    <w:rsid w:val="000B33BD"/>
    <w:rsid w:val="000B35E2"/>
    <w:rsid w:val="000B3E82"/>
    <w:rsid w:val="000C2BAB"/>
    <w:rsid w:val="000C7DF4"/>
    <w:rsid w:val="000E281F"/>
    <w:rsid w:val="000E503A"/>
    <w:rsid w:val="000F0F29"/>
    <w:rsid w:val="000F1C98"/>
    <w:rsid w:val="000F35AA"/>
    <w:rsid w:val="000F72A2"/>
    <w:rsid w:val="001002D5"/>
    <w:rsid w:val="00114EE0"/>
    <w:rsid w:val="001158E2"/>
    <w:rsid w:val="00115ADA"/>
    <w:rsid w:val="001163CB"/>
    <w:rsid w:val="00120217"/>
    <w:rsid w:val="001213A1"/>
    <w:rsid w:val="00123CC9"/>
    <w:rsid w:val="00126352"/>
    <w:rsid w:val="00131771"/>
    <w:rsid w:val="00142029"/>
    <w:rsid w:val="0014670A"/>
    <w:rsid w:val="00150900"/>
    <w:rsid w:val="00157327"/>
    <w:rsid w:val="00157FA4"/>
    <w:rsid w:val="0016022A"/>
    <w:rsid w:val="00162F86"/>
    <w:rsid w:val="001679E7"/>
    <w:rsid w:val="001749F6"/>
    <w:rsid w:val="001771B6"/>
    <w:rsid w:val="00187CBD"/>
    <w:rsid w:val="001927FE"/>
    <w:rsid w:val="001930A3"/>
    <w:rsid w:val="001A08EF"/>
    <w:rsid w:val="001B4D7B"/>
    <w:rsid w:val="001B55B2"/>
    <w:rsid w:val="001B7C3D"/>
    <w:rsid w:val="001C0AD1"/>
    <w:rsid w:val="001C2417"/>
    <w:rsid w:val="001C5EC8"/>
    <w:rsid w:val="001C6375"/>
    <w:rsid w:val="001C6EA9"/>
    <w:rsid w:val="001D1F1F"/>
    <w:rsid w:val="001D2096"/>
    <w:rsid w:val="001D434F"/>
    <w:rsid w:val="001D68D5"/>
    <w:rsid w:val="001D6E8F"/>
    <w:rsid w:val="001E286C"/>
    <w:rsid w:val="001E3416"/>
    <w:rsid w:val="001F3207"/>
    <w:rsid w:val="001F4221"/>
    <w:rsid w:val="00204851"/>
    <w:rsid w:val="002049D3"/>
    <w:rsid w:val="002050FB"/>
    <w:rsid w:val="00211EFD"/>
    <w:rsid w:val="00217AA1"/>
    <w:rsid w:val="00223E70"/>
    <w:rsid w:val="00225AB9"/>
    <w:rsid w:val="00227971"/>
    <w:rsid w:val="0023684F"/>
    <w:rsid w:val="002405B1"/>
    <w:rsid w:val="00240B37"/>
    <w:rsid w:val="002422AD"/>
    <w:rsid w:val="00243622"/>
    <w:rsid w:val="0024573C"/>
    <w:rsid w:val="00250121"/>
    <w:rsid w:val="00251FB8"/>
    <w:rsid w:val="00253425"/>
    <w:rsid w:val="0025377A"/>
    <w:rsid w:val="00254266"/>
    <w:rsid w:val="00264142"/>
    <w:rsid w:val="00271EC1"/>
    <w:rsid w:val="0027754C"/>
    <w:rsid w:val="00287818"/>
    <w:rsid w:val="00290808"/>
    <w:rsid w:val="0029188E"/>
    <w:rsid w:val="002953CA"/>
    <w:rsid w:val="002B3E9E"/>
    <w:rsid w:val="002B6169"/>
    <w:rsid w:val="002B62FE"/>
    <w:rsid w:val="002B6C67"/>
    <w:rsid w:val="002E184E"/>
    <w:rsid w:val="002F06CE"/>
    <w:rsid w:val="002F175E"/>
    <w:rsid w:val="002F45F6"/>
    <w:rsid w:val="00300203"/>
    <w:rsid w:val="00300CF9"/>
    <w:rsid w:val="00303B6D"/>
    <w:rsid w:val="003100D9"/>
    <w:rsid w:val="00310358"/>
    <w:rsid w:val="00313E05"/>
    <w:rsid w:val="00315690"/>
    <w:rsid w:val="003166B3"/>
    <w:rsid w:val="0032227A"/>
    <w:rsid w:val="00322B01"/>
    <w:rsid w:val="00323275"/>
    <w:rsid w:val="00323CEA"/>
    <w:rsid w:val="00324AAF"/>
    <w:rsid w:val="00330613"/>
    <w:rsid w:val="00331A35"/>
    <w:rsid w:val="003348DD"/>
    <w:rsid w:val="00337334"/>
    <w:rsid w:val="00342CD6"/>
    <w:rsid w:val="00346FEE"/>
    <w:rsid w:val="00356034"/>
    <w:rsid w:val="00362172"/>
    <w:rsid w:val="00364B27"/>
    <w:rsid w:val="00364E65"/>
    <w:rsid w:val="00370839"/>
    <w:rsid w:val="0037138A"/>
    <w:rsid w:val="0037515E"/>
    <w:rsid w:val="0037538F"/>
    <w:rsid w:val="003820AD"/>
    <w:rsid w:val="003845A6"/>
    <w:rsid w:val="0038559A"/>
    <w:rsid w:val="00386537"/>
    <w:rsid w:val="003930E1"/>
    <w:rsid w:val="0039770B"/>
    <w:rsid w:val="003A1647"/>
    <w:rsid w:val="003B60A8"/>
    <w:rsid w:val="003B66DA"/>
    <w:rsid w:val="003C4D1A"/>
    <w:rsid w:val="003C6CDB"/>
    <w:rsid w:val="003D010C"/>
    <w:rsid w:val="003D096F"/>
    <w:rsid w:val="003D26D7"/>
    <w:rsid w:val="003D3EAB"/>
    <w:rsid w:val="003D4D57"/>
    <w:rsid w:val="003D5963"/>
    <w:rsid w:val="003D5BA7"/>
    <w:rsid w:val="003D7AA3"/>
    <w:rsid w:val="003E340B"/>
    <w:rsid w:val="003E4A44"/>
    <w:rsid w:val="003F1158"/>
    <w:rsid w:val="003F466D"/>
    <w:rsid w:val="00400D34"/>
    <w:rsid w:val="00406EFE"/>
    <w:rsid w:val="004109AE"/>
    <w:rsid w:val="0041125B"/>
    <w:rsid w:val="00421872"/>
    <w:rsid w:val="00433EA0"/>
    <w:rsid w:val="004453C0"/>
    <w:rsid w:val="0045090B"/>
    <w:rsid w:val="00450A2F"/>
    <w:rsid w:val="00460AEA"/>
    <w:rsid w:val="004618FF"/>
    <w:rsid w:val="00463264"/>
    <w:rsid w:val="00464EE4"/>
    <w:rsid w:val="00467506"/>
    <w:rsid w:val="004700F1"/>
    <w:rsid w:val="00475081"/>
    <w:rsid w:val="00475403"/>
    <w:rsid w:val="00481B99"/>
    <w:rsid w:val="00483E0D"/>
    <w:rsid w:val="00485C81"/>
    <w:rsid w:val="004900B3"/>
    <w:rsid w:val="00491580"/>
    <w:rsid w:val="00497BE2"/>
    <w:rsid w:val="00497E78"/>
    <w:rsid w:val="004A23AF"/>
    <w:rsid w:val="004B381C"/>
    <w:rsid w:val="004B3DA1"/>
    <w:rsid w:val="004B627B"/>
    <w:rsid w:val="004C02BC"/>
    <w:rsid w:val="004C2183"/>
    <w:rsid w:val="004C28A9"/>
    <w:rsid w:val="004C2F33"/>
    <w:rsid w:val="004C5AAC"/>
    <w:rsid w:val="004D3245"/>
    <w:rsid w:val="004D5A31"/>
    <w:rsid w:val="004E1AF6"/>
    <w:rsid w:val="004E61BC"/>
    <w:rsid w:val="004E6D3C"/>
    <w:rsid w:val="004E7AF7"/>
    <w:rsid w:val="004F3A51"/>
    <w:rsid w:val="004F3CDF"/>
    <w:rsid w:val="004F4506"/>
    <w:rsid w:val="004F6750"/>
    <w:rsid w:val="0050255F"/>
    <w:rsid w:val="00503E8E"/>
    <w:rsid w:val="005119A1"/>
    <w:rsid w:val="0051420D"/>
    <w:rsid w:val="00516243"/>
    <w:rsid w:val="00521C5A"/>
    <w:rsid w:val="005224E6"/>
    <w:rsid w:val="00533AD8"/>
    <w:rsid w:val="00535096"/>
    <w:rsid w:val="005403B1"/>
    <w:rsid w:val="00542AD9"/>
    <w:rsid w:val="005445A2"/>
    <w:rsid w:val="00555211"/>
    <w:rsid w:val="00560AE0"/>
    <w:rsid w:val="0056202D"/>
    <w:rsid w:val="00566847"/>
    <w:rsid w:val="00567D93"/>
    <w:rsid w:val="0057464A"/>
    <w:rsid w:val="00576A4A"/>
    <w:rsid w:val="00576BC8"/>
    <w:rsid w:val="00576EE2"/>
    <w:rsid w:val="005773EB"/>
    <w:rsid w:val="00581C36"/>
    <w:rsid w:val="005829EF"/>
    <w:rsid w:val="00583ABC"/>
    <w:rsid w:val="00587E43"/>
    <w:rsid w:val="00590CE6"/>
    <w:rsid w:val="005932C9"/>
    <w:rsid w:val="00593FF8"/>
    <w:rsid w:val="00594755"/>
    <w:rsid w:val="00595CD6"/>
    <w:rsid w:val="005A2312"/>
    <w:rsid w:val="005A53ED"/>
    <w:rsid w:val="005B0EF7"/>
    <w:rsid w:val="005B66E9"/>
    <w:rsid w:val="005C03B0"/>
    <w:rsid w:val="005C46A8"/>
    <w:rsid w:val="005C6D4E"/>
    <w:rsid w:val="005C6F08"/>
    <w:rsid w:val="005C7F79"/>
    <w:rsid w:val="005D1860"/>
    <w:rsid w:val="005D1FF4"/>
    <w:rsid w:val="005D480C"/>
    <w:rsid w:val="005D4895"/>
    <w:rsid w:val="005D5929"/>
    <w:rsid w:val="005E5FD3"/>
    <w:rsid w:val="005F00F5"/>
    <w:rsid w:val="005F293A"/>
    <w:rsid w:val="005F7122"/>
    <w:rsid w:val="005F72B9"/>
    <w:rsid w:val="006000A6"/>
    <w:rsid w:val="006006DF"/>
    <w:rsid w:val="006035AC"/>
    <w:rsid w:val="00611057"/>
    <w:rsid w:val="00611E97"/>
    <w:rsid w:val="00613BEE"/>
    <w:rsid w:val="00615431"/>
    <w:rsid w:val="006262DA"/>
    <w:rsid w:val="0063276E"/>
    <w:rsid w:val="00632E0C"/>
    <w:rsid w:val="006359D7"/>
    <w:rsid w:val="006378D2"/>
    <w:rsid w:val="00641CA6"/>
    <w:rsid w:val="00642815"/>
    <w:rsid w:val="00643FAA"/>
    <w:rsid w:val="00652904"/>
    <w:rsid w:val="00653A58"/>
    <w:rsid w:val="00656072"/>
    <w:rsid w:val="0066450D"/>
    <w:rsid w:val="00671636"/>
    <w:rsid w:val="00675801"/>
    <w:rsid w:val="00677124"/>
    <w:rsid w:val="00677E21"/>
    <w:rsid w:val="006804ED"/>
    <w:rsid w:val="00685528"/>
    <w:rsid w:val="0068593C"/>
    <w:rsid w:val="006934B5"/>
    <w:rsid w:val="006955F6"/>
    <w:rsid w:val="00697E34"/>
    <w:rsid w:val="006A036C"/>
    <w:rsid w:val="006A447C"/>
    <w:rsid w:val="006B4269"/>
    <w:rsid w:val="006C2540"/>
    <w:rsid w:val="006C29EC"/>
    <w:rsid w:val="006C56B2"/>
    <w:rsid w:val="006C6BAF"/>
    <w:rsid w:val="006E4092"/>
    <w:rsid w:val="006E78F3"/>
    <w:rsid w:val="006F1894"/>
    <w:rsid w:val="006F2F09"/>
    <w:rsid w:val="006F488F"/>
    <w:rsid w:val="006F53B0"/>
    <w:rsid w:val="006F6EC3"/>
    <w:rsid w:val="00703FDE"/>
    <w:rsid w:val="007069D5"/>
    <w:rsid w:val="00707FD2"/>
    <w:rsid w:val="00711C36"/>
    <w:rsid w:val="0073722D"/>
    <w:rsid w:val="007428E7"/>
    <w:rsid w:val="007505EF"/>
    <w:rsid w:val="00752229"/>
    <w:rsid w:val="00754B38"/>
    <w:rsid w:val="00754D33"/>
    <w:rsid w:val="00761E84"/>
    <w:rsid w:val="007662CA"/>
    <w:rsid w:val="00766845"/>
    <w:rsid w:val="007679B5"/>
    <w:rsid w:val="007706C4"/>
    <w:rsid w:val="00771F8C"/>
    <w:rsid w:val="0077571F"/>
    <w:rsid w:val="0077601C"/>
    <w:rsid w:val="0078241B"/>
    <w:rsid w:val="007865C9"/>
    <w:rsid w:val="00787508"/>
    <w:rsid w:val="00790592"/>
    <w:rsid w:val="00792268"/>
    <w:rsid w:val="00792ECE"/>
    <w:rsid w:val="0079789E"/>
    <w:rsid w:val="007A169F"/>
    <w:rsid w:val="007B7444"/>
    <w:rsid w:val="007B7B01"/>
    <w:rsid w:val="007C67A2"/>
    <w:rsid w:val="007C7A35"/>
    <w:rsid w:val="007D2A9F"/>
    <w:rsid w:val="007D35B7"/>
    <w:rsid w:val="007D78F4"/>
    <w:rsid w:val="007E70A2"/>
    <w:rsid w:val="007E70E4"/>
    <w:rsid w:val="007F40B5"/>
    <w:rsid w:val="007F4C2A"/>
    <w:rsid w:val="007F5D49"/>
    <w:rsid w:val="007F7896"/>
    <w:rsid w:val="008001C7"/>
    <w:rsid w:val="0080280C"/>
    <w:rsid w:val="0080288A"/>
    <w:rsid w:val="008070DF"/>
    <w:rsid w:val="0080789F"/>
    <w:rsid w:val="00810416"/>
    <w:rsid w:val="00817E07"/>
    <w:rsid w:val="00826790"/>
    <w:rsid w:val="00833C56"/>
    <w:rsid w:val="00836CC3"/>
    <w:rsid w:val="00837FB7"/>
    <w:rsid w:val="008415A8"/>
    <w:rsid w:val="00844CD7"/>
    <w:rsid w:val="0085069B"/>
    <w:rsid w:val="00860E77"/>
    <w:rsid w:val="00861E63"/>
    <w:rsid w:val="0087211A"/>
    <w:rsid w:val="008735F8"/>
    <w:rsid w:val="008745FF"/>
    <w:rsid w:val="00874BC1"/>
    <w:rsid w:val="00883B6F"/>
    <w:rsid w:val="00893704"/>
    <w:rsid w:val="008A0DDE"/>
    <w:rsid w:val="008A1AFF"/>
    <w:rsid w:val="008A3335"/>
    <w:rsid w:val="008B155A"/>
    <w:rsid w:val="008B53A3"/>
    <w:rsid w:val="008C7588"/>
    <w:rsid w:val="008D037A"/>
    <w:rsid w:val="008D282C"/>
    <w:rsid w:val="008D2F84"/>
    <w:rsid w:val="008E3C61"/>
    <w:rsid w:val="008F1B54"/>
    <w:rsid w:val="008F2A94"/>
    <w:rsid w:val="008F7557"/>
    <w:rsid w:val="00906A40"/>
    <w:rsid w:val="00913D2D"/>
    <w:rsid w:val="0091459C"/>
    <w:rsid w:val="00915B27"/>
    <w:rsid w:val="009218C9"/>
    <w:rsid w:val="00923A78"/>
    <w:rsid w:val="00927CFC"/>
    <w:rsid w:val="009301CF"/>
    <w:rsid w:val="009368C2"/>
    <w:rsid w:val="009400CB"/>
    <w:rsid w:val="009411F3"/>
    <w:rsid w:val="009430C6"/>
    <w:rsid w:val="009449C2"/>
    <w:rsid w:val="009525D6"/>
    <w:rsid w:val="00953265"/>
    <w:rsid w:val="009559C9"/>
    <w:rsid w:val="00957B71"/>
    <w:rsid w:val="009615E5"/>
    <w:rsid w:val="00961716"/>
    <w:rsid w:val="00967231"/>
    <w:rsid w:val="00970103"/>
    <w:rsid w:val="00970C7E"/>
    <w:rsid w:val="009731C3"/>
    <w:rsid w:val="00976A84"/>
    <w:rsid w:val="00982918"/>
    <w:rsid w:val="0098613B"/>
    <w:rsid w:val="0099135D"/>
    <w:rsid w:val="00996F69"/>
    <w:rsid w:val="009A6A3F"/>
    <w:rsid w:val="009A7D8F"/>
    <w:rsid w:val="009B3F10"/>
    <w:rsid w:val="009B4263"/>
    <w:rsid w:val="009B460C"/>
    <w:rsid w:val="009B5398"/>
    <w:rsid w:val="009C3986"/>
    <w:rsid w:val="009C602E"/>
    <w:rsid w:val="009D24CD"/>
    <w:rsid w:val="009D36AA"/>
    <w:rsid w:val="009E0B87"/>
    <w:rsid w:val="009E1DAB"/>
    <w:rsid w:val="009E2339"/>
    <w:rsid w:val="009E4699"/>
    <w:rsid w:val="009E4FD4"/>
    <w:rsid w:val="009F4A57"/>
    <w:rsid w:val="009F4D20"/>
    <w:rsid w:val="00A01B24"/>
    <w:rsid w:val="00A03DC2"/>
    <w:rsid w:val="00A1142A"/>
    <w:rsid w:val="00A1157B"/>
    <w:rsid w:val="00A15790"/>
    <w:rsid w:val="00A2166F"/>
    <w:rsid w:val="00A23274"/>
    <w:rsid w:val="00A30DBD"/>
    <w:rsid w:val="00A314B9"/>
    <w:rsid w:val="00A33989"/>
    <w:rsid w:val="00A34959"/>
    <w:rsid w:val="00A3521B"/>
    <w:rsid w:val="00A414C8"/>
    <w:rsid w:val="00A424DC"/>
    <w:rsid w:val="00A44E2E"/>
    <w:rsid w:val="00A4622E"/>
    <w:rsid w:val="00A46274"/>
    <w:rsid w:val="00A50D8B"/>
    <w:rsid w:val="00A50E7F"/>
    <w:rsid w:val="00A5174D"/>
    <w:rsid w:val="00A52015"/>
    <w:rsid w:val="00A54223"/>
    <w:rsid w:val="00A56125"/>
    <w:rsid w:val="00A62B64"/>
    <w:rsid w:val="00A65740"/>
    <w:rsid w:val="00A707CC"/>
    <w:rsid w:val="00A776A9"/>
    <w:rsid w:val="00A86979"/>
    <w:rsid w:val="00A90003"/>
    <w:rsid w:val="00A90C69"/>
    <w:rsid w:val="00A92FBD"/>
    <w:rsid w:val="00A9330A"/>
    <w:rsid w:val="00A939BA"/>
    <w:rsid w:val="00A96A17"/>
    <w:rsid w:val="00AA2E63"/>
    <w:rsid w:val="00AA7A28"/>
    <w:rsid w:val="00AB07F7"/>
    <w:rsid w:val="00AB3F09"/>
    <w:rsid w:val="00AB536D"/>
    <w:rsid w:val="00AB5E05"/>
    <w:rsid w:val="00AB7373"/>
    <w:rsid w:val="00AC3304"/>
    <w:rsid w:val="00AC4FBE"/>
    <w:rsid w:val="00AC5477"/>
    <w:rsid w:val="00AD14BD"/>
    <w:rsid w:val="00AD3FA3"/>
    <w:rsid w:val="00AE0511"/>
    <w:rsid w:val="00AE117A"/>
    <w:rsid w:val="00AE22DE"/>
    <w:rsid w:val="00AE2F69"/>
    <w:rsid w:val="00AF3D87"/>
    <w:rsid w:val="00AF737C"/>
    <w:rsid w:val="00B01AC3"/>
    <w:rsid w:val="00B01D52"/>
    <w:rsid w:val="00B121FC"/>
    <w:rsid w:val="00B14AFC"/>
    <w:rsid w:val="00B153A0"/>
    <w:rsid w:val="00B25291"/>
    <w:rsid w:val="00B400D5"/>
    <w:rsid w:val="00B43EA3"/>
    <w:rsid w:val="00B464E9"/>
    <w:rsid w:val="00B53AC8"/>
    <w:rsid w:val="00B6460C"/>
    <w:rsid w:val="00B7064F"/>
    <w:rsid w:val="00B70E88"/>
    <w:rsid w:val="00B80148"/>
    <w:rsid w:val="00B85A58"/>
    <w:rsid w:val="00B86136"/>
    <w:rsid w:val="00B86C96"/>
    <w:rsid w:val="00B9102D"/>
    <w:rsid w:val="00BA19B0"/>
    <w:rsid w:val="00BA27F7"/>
    <w:rsid w:val="00BA31F5"/>
    <w:rsid w:val="00BB1B8A"/>
    <w:rsid w:val="00BB2EBE"/>
    <w:rsid w:val="00BB6156"/>
    <w:rsid w:val="00BC56B1"/>
    <w:rsid w:val="00BC6E75"/>
    <w:rsid w:val="00BD0C2B"/>
    <w:rsid w:val="00BD42CA"/>
    <w:rsid w:val="00BD42FB"/>
    <w:rsid w:val="00BD7A6D"/>
    <w:rsid w:val="00BE27C5"/>
    <w:rsid w:val="00C014F7"/>
    <w:rsid w:val="00C032FA"/>
    <w:rsid w:val="00C06E85"/>
    <w:rsid w:val="00C13165"/>
    <w:rsid w:val="00C14748"/>
    <w:rsid w:val="00C22583"/>
    <w:rsid w:val="00C22685"/>
    <w:rsid w:val="00C2556A"/>
    <w:rsid w:val="00C25FF0"/>
    <w:rsid w:val="00C31130"/>
    <w:rsid w:val="00C34419"/>
    <w:rsid w:val="00C4099E"/>
    <w:rsid w:val="00C47B9A"/>
    <w:rsid w:val="00C5188E"/>
    <w:rsid w:val="00C54521"/>
    <w:rsid w:val="00C54878"/>
    <w:rsid w:val="00C56964"/>
    <w:rsid w:val="00C633A9"/>
    <w:rsid w:val="00C65A4E"/>
    <w:rsid w:val="00C65A7A"/>
    <w:rsid w:val="00C66F65"/>
    <w:rsid w:val="00C6763B"/>
    <w:rsid w:val="00C7309B"/>
    <w:rsid w:val="00C7327C"/>
    <w:rsid w:val="00C74ABF"/>
    <w:rsid w:val="00C75692"/>
    <w:rsid w:val="00C82E04"/>
    <w:rsid w:val="00C8370B"/>
    <w:rsid w:val="00C87350"/>
    <w:rsid w:val="00C915D0"/>
    <w:rsid w:val="00C92387"/>
    <w:rsid w:val="00C957C8"/>
    <w:rsid w:val="00C95BF5"/>
    <w:rsid w:val="00CA4D30"/>
    <w:rsid w:val="00CA5580"/>
    <w:rsid w:val="00CB17AA"/>
    <w:rsid w:val="00CC4C69"/>
    <w:rsid w:val="00CC70A3"/>
    <w:rsid w:val="00CC76E1"/>
    <w:rsid w:val="00CD3B98"/>
    <w:rsid w:val="00CD5D4A"/>
    <w:rsid w:val="00CD7A2B"/>
    <w:rsid w:val="00CE0F88"/>
    <w:rsid w:val="00CE3656"/>
    <w:rsid w:val="00CF1CB3"/>
    <w:rsid w:val="00CF43F5"/>
    <w:rsid w:val="00CF5ED6"/>
    <w:rsid w:val="00CF5FFE"/>
    <w:rsid w:val="00CF7964"/>
    <w:rsid w:val="00D003BD"/>
    <w:rsid w:val="00D00EDC"/>
    <w:rsid w:val="00D02966"/>
    <w:rsid w:val="00D04EDC"/>
    <w:rsid w:val="00D146C2"/>
    <w:rsid w:val="00D23338"/>
    <w:rsid w:val="00D261B7"/>
    <w:rsid w:val="00D266B2"/>
    <w:rsid w:val="00D32764"/>
    <w:rsid w:val="00D33C98"/>
    <w:rsid w:val="00D345AF"/>
    <w:rsid w:val="00D375E9"/>
    <w:rsid w:val="00D40212"/>
    <w:rsid w:val="00D4421C"/>
    <w:rsid w:val="00D45AED"/>
    <w:rsid w:val="00D512CF"/>
    <w:rsid w:val="00D52AF0"/>
    <w:rsid w:val="00D54879"/>
    <w:rsid w:val="00D548BF"/>
    <w:rsid w:val="00D60E9E"/>
    <w:rsid w:val="00D63CA0"/>
    <w:rsid w:val="00D64263"/>
    <w:rsid w:val="00D66669"/>
    <w:rsid w:val="00D66922"/>
    <w:rsid w:val="00D714ED"/>
    <w:rsid w:val="00D71F11"/>
    <w:rsid w:val="00D74BA7"/>
    <w:rsid w:val="00D7545E"/>
    <w:rsid w:val="00D8098B"/>
    <w:rsid w:val="00D85B03"/>
    <w:rsid w:val="00D85C46"/>
    <w:rsid w:val="00D86A38"/>
    <w:rsid w:val="00D876A0"/>
    <w:rsid w:val="00D96488"/>
    <w:rsid w:val="00DA05E5"/>
    <w:rsid w:val="00DA3884"/>
    <w:rsid w:val="00DA3DFC"/>
    <w:rsid w:val="00DA67AC"/>
    <w:rsid w:val="00DB1FF0"/>
    <w:rsid w:val="00DB221A"/>
    <w:rsid w:val="00DB4181"/>
    <w:rsid w:val="00DB4697"/>
    <w:rsid w:val="00DB6F8B"/>
    <w:rsid w:val="00DB7D4F"/>
    <w:rsid w:val="00DC24B4"/>
    <w:rsid w:val="00DD2622"/>
    <w:rsid w:val="00DD38FC"/>
    <w:rsid w:val="00DD69D5"/>
    <w:rsid w:val="00DD6E85"/>
    <w:rsid w:val="00DE1AFF"/>
    <w:rsid w:val="00DE4013"/>
    <w:rsid w:val="00DE5C37"/>
    <w:rsid w:val="00DE6326"/>
    <w:rsid w:val="00DF6DCB"/>
    <w:rsid w:val="00DF778A"/>
    <w:rsid w:val="00E03149"/>
    <w:rsid w:val="00E102C3"/>
    <w:rsid w:val="00E10D6D"/>
    <w:rsid w:val="00E152A5"/>
    <w:rsid w:val="00E17B60"/>
    <w:rsid w:val="00E2294A"/>
    <w:rsid w:val="00E249FC"/>
    <w:rsid w:val="00E267CE"/>
    <w:rsid w:val="00E33A89"/>
    <w:rsid w:val="00E364E2"/>
    <w:rsid w:val="00E42674"/>
    <w:rsid w:val="00E55BC9"/>
    <w:rsid w:val="00E5611E"/>
    <w:rsid w:val="00E57B88"/>
    <w:rsid w:val="00E61482"/>
    <w:rsid w:val="00E63927"/>
    <w:rsid w:val="00E66178"/>
    <w:rsid w:val="00E7206F"/>
    <w:rsid w:val="00E72AF8"/>
    <w:rsid w:val="00E737A9"/>
    <w:rsid w:val="00E748BB"/>
    <w:rsid w:val="00E80C08"/>
    <w:rsid w:val="00E91D81"/>
    <w:rsid w:val="00E9361A"/>
    <w:rsid w:val="00EA04D3"/>
    <w:rsid w:val="00EA19A0"/>
    <w:rsid w:val="00EA5A4B"/>
    <w:rsid w:val="00EA604D"/>
    <w:rsid w:val="00EA73A1"/>
    <w:rsid w:val="00EA789B"/>
    <w:rsid w:val="00EA7EA0"/>
    <w:rsid w:val="00EB4072"/>
    <w:rsid w:val="00EB4CB6"/>
    <w:rsid w:val="00EB6C1A"/>
    <w:rsid w:val="00EC0BEB"/>
    <w:rsid w:val="00EC540F"/>
    <w:rsid w:val="00ED134F"/>
    <w:rsid w:val="00ED1FA2"/>
    <w:rsid w:val="00ED5624"/>
    <w:rsid w:val="00ED693C"/>
    <w:rsid w:val="00ED78C3"/>
    <w:rsid w:val="00EE3645"/>
    <w:rsid w:val="00EF0EB4"/>
    <w:rsid w:val="00EF5859"/>
    <w:rsid w:val="00EF5E0F"/>
    <w:rsid w:val="00F02E8D"/>
    <w:rsid w:val="00F0432D"/>
    <w:rsid w:val="00F07078"/>
    <w:rsid w:val="00F1335C"/>
    <w:rsid w:val="00F14076"/>
    <w:rsid w:val="00F15C8C"/>
    <w:rsid w:val="00F16BD2"/>
    <w:rsid w:val="00F1716F"/>
    <w:rsid w:val="00F1720E"/>
    <w:rsid w:val="00F2035D"/>
    <w:rsid w:val="00F24CE9"/>
    <w:rsid w:val="00F33654"/>
    <w:rsid w:val="00F344BE"/>
    <w:rsid w:val="00F35F6B"/>
    <w:rsid w:val="00F37C59"/>
    <w:rsid w:val="00F41616"/>
    <w:rsid w:val="00F41788"/>
    <w:rsid w:val="00F4204D"/>
    <w:rsid w:val="00F42674"/>
    <w:rsid w:val="00F45B9A"/>
    <w:rsid w:val="00F51E89"/>
    <w:rsid w:val="00F6149A"/>
    <w:rsid w:val="00F62137"/>
    <w:rsid w:val="00F65060"/>
    <w:rsid w:val="00F65184"/>
    <w:rsid w:val="00F71358"/>
    <w:rsid w:val="00F71441"/>
    <w:rsid w:val="00F71683"/>
    <w:rsid w:val="00F75F48"/>
    <w:rsid w:val="00F76DD4"/>
    <w:rsid w:val="00F819C8"/>
    <w:rsid w:val="00F81CA7"/>
    <w:rsid w:val="00F8268E"/>
    <w:rsid w:val="00F843EF"/>
    <w:rsid w:val="00F8738A"/>
    <w:rsid w:val="00F875EC"/>
    <w:rsid w:val="00F90C44"/>
    <w:rsid w:val="00F93E52"/>
    <w:rsid w:val="00F97267"/>
    <w:rsid w:val="00F97973"/>
    <w:rsid w:val="00FA0617"/>
    <w:rsid w:val="00FA1E68"/>
    <w:rsid w:val="00FA2CFF"/>
    <w:rsid w:val="00FA5889"/>
    <w:rsid w:val="00FA620A"/>
    <w:rsid w:val="00FB0688"/>
    <w:rsid w:val="00FB3D84"/>
    <w:rsid w:val="00FB55E7"/>
    <w:rsid w:val="00FB6AAD"/>
    <w:rsid w:val="00FC0E17"/>
    <w:rsid w:val="00FC1DE2"/>
    <w:rsid w:val="00FC2C9E"/>
    <w:rsid w:val="00FC4F35"/>
    <w:rsid w:val="00FD11C8"/>
    <w:rsid w:val="00FD4285"/>
    <w:rsid w:val="00FD4A77"/>
    <w:rsid w:val="00FE4388"/>
    <w:rsid w:val="00FE562C"/>
    <w:rsid w:val="00FE7544"/>
    <w:rsid w:val="00FE7E19"/>
    <w:rsid w:val="00FF270B"/>
    <w:rsid w:val="00FF766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169A7"/>
  <w15:docId w15:val="{F1DCA68E-08A4-4FB0-BBB3-CF09222F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3"/>
    </w:pPr>
    <w:rPr>
      <w:sz w:val="20"/>
      <w:szCs w:val="20"/>
    </w:rPr>
  </w:style>
  <w:style w:type="paragraph" w:styleId="Title">
    <w:name w:val="Title"/>
    <w:basedOn w:val="Normal"/>
    <w:uiPriority w:val="10"/>
    <w:qFormat/>
    <w:pPr>
      <w:spacing w:before="1"/>
      <w:ind w:left="526" w:right="524"/>
      <w:jc w:val="center"/>
    </w:pPr>
    <w:rPr>
      <w:b/>
      <w:bCs/>
    </w:rPr>
  </w:style>
  <w:style w:type="paragraph" w:styleId="ListParagraph">
    <w:name w:val="List Paragraph"/>
    <w:basedOn w:val="Normal"/>
    <w:uiPriority w:val="1"/>
    <w:qFormat/>
    <w:pPr>
      <w:ind w:left="833" w:right="11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67D93"/>
    <w:rPr>
      <w:sz w:val="16"/>
      <w:szCs w:val="16"/>
    </w:rPr>
  </w:style>
  <w:style w:type="paragraph" w:styleId="CommentText">
    <w:name w:val="annotation text"/>
    <w:basedOn w:val="Normal"/>
    <w:link w:val="CommentTextChar"/>
    <w:uiPriority w:val="99"/>
    <w:unhideWhenUsed/>
    <w:rsid w:val="00567D93"/>
    <w:rPr>
      <w:sz w:val="20"/>
      <w:szCs w:val="20"/>
    </w:rPr>
  </w:style>
  <w:style w:type="character" w:customStyle="1" w:styleId="CommentTextChar">
    <w:name w:val="Comment Text Char"/>
    <w:basedOn w:val="DefaultParagraphFont"/>
    <w:link w:val="CommentText"/>
    <w:uiPriority w:val="99"/>
    <w:rsid w:val="00567D93"/>
    <w:rPr>
      <w:rFonts w:ascii="Calibri" w:eastAsia="Calibri" w:hAnsi="Calibri" w:cs="Calibri"/>
      <w:sz w:val="20"/>
      <w:szCs w:val="20"/>
      <w:lang w:val="el-GR"/>
    </w:rPr>
  </w:style>
  <w:style w:type="paragraph" w:styleId="CommentSubject">
    <w:name w:val="annotation subject"/>
    <w:basedOn w:val="CommentText"/>
    <w:next w:val="CommentText"/>
    <w:link w:val="CommentSubjectChar"/>
    <w:uiPriority w:val="99"/>
    <w:semiHidden/>
    <w:unhideWhenUsed/>
    <w:rsid w:val="00567D93"/>
    <w:rPr>
      <w:b/>
      <w:bCs/>
    </w:rPr>
  </w:style>
  <w:style w:type="character" w:customStyle="1" w:styleId="CommentSubjectChar">
    <w:name w:val="Comment Subject Char"/>
    <w:basedOn w:val="CommentTextChar"/>
    <w:link w:val="CommentSubject"/>
    <w:uiPriority w:val="99"/>
    <w:semiHidden/>
    <w:rsid w:val="00567D93"/>
    <w:rPr>
      <w:rFonts w:ascii="Calibri" w:eastAsia="Calibri" w:hAnsi="Calibri" w:cs="Calibri"/>
      <w:b/>
      <w:bCs/>
      <w:sz w:val="20"/>
      <w:szCs w:val="20"/>
      <w:lang w:val="el-GR"/>
    </w:rPr>
  </w:style>
  <w:style w:type="paragraph" w:styleId="Revision">
    <w:name w:val="Revision"/>
    <w:hidden/>
    <w:uiPriority w:val="99"/>
    <w:semiHidden/>
    <w:rsid w:val="00E249FC"/>
    <w:pPr>
      <w:widowControl/>
      <w:autoSpaceDE/>
      <w:autoSpaceDN/>
    </w:pPr>
    <w:rPr>
      <w:rFonts w:ascii="Calibri" w:eastAsia="Calibri" w:hAnsi="Calibri" w:cs="Calibri"/>
      <w:lang w:val="el-GR"/>
    </w:rPr>
  </w:style>
  <w:style w:type="paragraph" w:styleId="FootnoteText">
    <w:name w:val="footnote text"/>
    <w:basedOn w:val="Normal"/>
    <w:link w:val="FootnoteTextChar"/>
    <w:uiPriority w:val="99"/>
    <w:semiHidden/>
    <w:unhideWhenUsed/>
    <w:rsid w:val="001D2096"/>
    <w:rPr>
      <w:sz w:val="20"/>
      <w:szCs w:val="20"/>
    </w:rPr>
  </w:style>
  <w:style w:type="character" w:customStyle="1" w:styleId="FootnoteTextChar">
    <w:name w:val="Footnote Text Char"/>
    <w:basedOn w:val="DefaultParagraphFont"/>
    <w:link w:val="FootnoteText"/>
    <w:uiPriority w:val="99"/>
    <w:semiHidden/>
    <w:rsid w:val="001D2096"/>
    <w:rPr>
      <w:rFonts w:ascii="Calibri" w:eastAsia="Calibri" w:hAnsi="Calibri" w:cs="Calibri"/>
      <w:sz w:val="20"/>
      <w:szCs w:val="20"/>
      <w:lang w:val="el-GR"/>
    </w:rPr>
  </w:style>
  <w:style w:type="character" w:styleId="FootnoteReference">
    <w:name w:val="footnote reference"/>
    <w:basedOn w:val="DefaultParagraphFont"/>
    <w:uiPriority w:val="99"/>
    <w:semiHidden/>
    <w:unhideWhenUsed/>
    <w:rsid w:val="001D2096"/>
    <w:rPr>
      <w:vertAlign w:val="superscript"/>
    </w:rPr>
  </w:style>
  <w:style w:type="paragraph" w:styleId="Header">
    <w:name w:val="header"/>
    <w:basedOn w:val="Normal"/>
    <w:link w:val="HeaderChar"/>
    <w:uiPriority w:val="99"/>
    <w:unhideWhenUsed/>
    <w:rsid w:val="000566FF"/>
    <w:pPr>
      <w:tabs>
        <w:tab w:val="center" w:pos="4153"/>
        <w:tab w:val="right" w:pos="8306"/>
      </w:tabs>
    </w:pPr>
  </w:style>
  <w:style w:type="character" w:customStyle="1" w:styleId="HeaderChar">
    <w:name w:val="Header Char"/>
    <w:basedOn w:val="DefaultParagraphFont"/>
    <w:link w:val="Header"/>
    <w:uiPriority w:val="99"/>
    <w:rsid w:val="000566FF"/>
    <w:rPr>
      <w:rFonts w:ascii="Calibri" w:eastAsia="Calibri" w:hAnsi="Calibri" w:cs="Calibri"/>
      <w:lang w:val="el-GR"/>
    </w:rPr>
  </w:style>
  <w:style w:type="paragraph" w:styleId="Footer">
    <w:name w:val="footer"/>
    <w:basedOn w:val="Normal"/>
    <w:link w:val="FooterChar"/>
    <w:uiPriority w:val="99"/>
    <w:unhideWhenUsed/>
    <w:rsid w:val="000566FF"/>
    <w:pPr>
      <w:tabs>
        <w:tab w:val="center" w:pos="4153"/>
        <w:tab w:val="right" w:pos="8306"/>
      </w:tabs>
    </w:pPr>
  </w:style>
  <w:style w:type="character" w:customStyle="1" w:styleId="FooterChar">
    <w:name w:val="Footer Char"/>
    <w:basedOn w:val="DefaultParagraphFont"/>
    <w:link w:val="Footer"/>
    <w:uiPriority w:val="99"/>
    <w:rsid w:val="000566FF"/>
    <w:rPr>
      <w:rFonts w:ascii="Calibri" w:eastAsia="Calibri" w:hAnsi="Calibri" w:cs="Calibri"/>
      <w:lang w:val="el-GR"/>
    </w:rPr>
  </w:style>
  <w:style w:type="paragraph" w:styleId="NormalWeb">
    <w:name w:val="Normal (Web)"/>
    <w:basedOn w:val="Normal"/>
    <w:uiPriority w:val="99"/>
    <w:semiHidden/>
    <w:unhideWhenUsed/>
    <w:rsid w:val="004618FF"/>
    <w:rPr>
      <w:rFonts w:ascii="Times New Roman" w:hAnsi="Times New Roman" w:cs="Times New Roman"/>
      <w:sz w:val="24"/>
      <w:szCs w:val="24"/>
    </w:rPr>
  </w:style>
  <w:style w:type="character" w:customStyle="1" w:styleId="BodyTextChar">
    <w:name w:val="Body Text Char"/>
    <w:basedOn w:val="DefaultParagraphFont"/>
    <w:link w:val="BodyText"/>
    <w:uiPriority w:val="1"/>
    <w:rsid w:val="00FA2CFF"/>
    <w:rPr>
      <w:rFonts w:ascii="Calibri" w:eastAsia="Calibri" w:hAnsi="Calibri" w:cs="Calibri"/>
      <w:sz w:val="20"/>
      <w:szCs w:val="20"/>
      <w:lang w:val="el-GR"/>
    </w:rPr>
  </w:style>
  <w:style w:type="character" w:styleId="Hyperlink">
    <w:name w:val="Hyperlink"/>
    <w:basedOn w:val="DefaultParagraphFont"/>
    <w:uiPriority w:val="99"/>
    <w:unhideWhenUsed/>
    <w:rsid w:val="00677E21"/>
    <w:rPr>
      <w:color w:val="0000FF" w:themeColor="hyperlink"/>
      <w:u w:val="single"/>
    </w:rPr>
  </w:style>
  <w:style w:type="character" w:customStyle="1" w:styleId="UnresolvedMention">
    <w:name w:val="Unresolved Mention"/>
    <w:basedOn w:val="DefaultParagraphFont"/>
    <w:uiPriority w:val="99"/>
    <w:semiHidden/>
    <w:unhideWhenUsed/>
    <w:rsid w:val="00677E21"/>
    <w:rPr>
      <w:color w:val="605E5C"/>
      <w:shd w:val="clear" w:color="auto" w:fill="E1DFDD"/>
    </w:rPr>
  </w:style>
  <w:style w:type="table" w:styleId="TableGrid">
    <w:name w:val="Table Grid"/>
    <w:basedOn w:val="TableNormal"/>
    <w:uiPriority w:val="39"/>
    <w:rsid w:val="00677E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94986">
      <w:bodyDiv w:val="1"/>
      <w:marLeft w:val="0"/>
      <w:marRight w:val="0"/>
      <w:marTop w:val="0"/>
      <w:marBottom w:val="0"/>
      <w:divBdr>
        <w:top w:val="none" w:sz="0" w:space="0" w:color="auto"/>
        <w:left w:val="none" w:sz="0" w:space="0" w:color="auto"/>
        <w:bottom w:val="none" w:sz="0" w:space="0" w:color="auto"/>
        <w:right w:val="none" w:sz="0" w:space="0" w:color="auto"/>
      </w:divBdr>
    </w:div>
    <w:div w:id="153711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d1ecb1-7519-41d9-bbba-1c9fc73fc7b8">
      <Terms xmlns="http://schemas.microsoft.com/office/infopath/2007/PartnerControls"/>
    </lcf76f155ced4ddcb4097134ff3c332f>
    <TaxCatchAll xmlns="f4efe5ac-f40b-4845-8aee-335b3ed0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A585D1AD8439D7419E9E465075B71BD1" ma:contentTypeVersion="12" ma:contentTypeDescription="Δημιουργία νέου εγγράφου" ma:contentTypeScope="" ma:versionID="e4af379f07cf826b71c4c8ab7944f5ee">
  <xsd:schema xmlns:xsd="http://www.w3.org/2001/XMLSchema" xmlns:xs="http://www.w3.org/2001/XMLSchema" xmlns:p="http://schemas.microsoft.com/office/2006/metadata/properties" xmlns:ns2="42d1ecb1-7519-41d9-bbba-1c9fc73fc7b8" xmlns:ns3="f4efe5ac-f40b-4845-8aee-335b3ed0d781" targetNamespace="http://schemas.microsoft.com/office/2006/metadata/properties" ma:root="true" ma:fieldsID="e8330d8bc583f979606a9143209f408c" ns2:_="" ns3:_="">
    <xsd:import namespace="42d1ecb1-7519-41d9-bbba-1c9fc73fc7b8"/>
    <xsd:import namespace="f4efe5ac-f40b-4845-8aee-335b3ed0d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1ecb1-7519-41d9-bbba-1c9fc73fc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efe5ac-f40b-4845-8aee-335b3ed0d7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3c55-3567-4bc2-af99-b5300358e78e}" ma:internalName="TaxCatchAll" ma:showField="CatchAllData" ma:web="f4efe5ac-f40b-4845-8aee-335b3ed0d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AFF15-F0CB-4D30-B29C-9ADDA04AB712}">
  <ds:schemaRefs>
    <ds:schemaRef ds:uri="http://schemas.microsoft.com/office/2006/metadata/properties"/>
    <ds:schemaRef ds:uri="http://schemas.microsoft.com/office/infopath/2007/PartnerControls"/>
    <ds:schemaRef ds:uri="42d1ecb1-7519-41d9-bbba-1c9fc73fc7b8"/>
    <ds:schemaRef ds:uri="f4efe5ac-f40b-4845-8aee-335b3ed0d781"/>
  </ds:schemaRefs>
</ds:datastoreItem>
</file>

<file path=customXml/itemProps2.xml><?xml version="1.0" encoding="utf-8"?>
<ds:datastoreItem xmlns:ds="http://schemas.openxmlformats.org/officeDocument/2006/customXml" ds:itemID="{F16CC216-9369-45F4-9916-D6563A252B70}">
  <ds:schemaRefs>
    <ds:schemaRef ds:uri="http://schemas.microsoft.com/sharepoint/v3/contenttype/forms"/>
  </ds:schemaRefs>
</ds:datastoreItem>
</file>

<file path=customXml/itemProps3.xml><?xml version="1.0" encoding="utf-8"?>
<ds:datastoreItem xmlns:ds="http://schemas.openxmlformats.org/officeDocument/2006/customXml" ds:itemID="{4750CC53-60E8-4DE2-BD19-D5500572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1ecb1-7519-41d9-bbba-1c9fc73fc7b8"/>
    <ds:schemaRef ds:uri="f4efe5ac-f40b-4845-8aee-335b3ed0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2424</Words>
  <Characters>13819</Characters>
  <Application>Microsoft Office Word</Application>
  <DocSecurity>0</DocSecurity>
  <Lines>115</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Kolonas</dc:creator>
  <cp:keywords/>
  <cp:lastModifiedBy>Χρήστος Κολώνας</cp:lastModifiedBy>
  <cp:revision>2</cp:revision>
  <dcterms:created xsi:type="dcterms:W3CDTF">2026-05-25T17:21:00Z</dcterms:created>
  <dcterms:modified xsi:type="dcterms:W3CDTF">2026-05-25T17:21:00Z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0x010100A585D1AD8439D7419E9E465075B71BD1</vt:lpwstr>
  </property>
  <property fmtid="{D5CDD505-2E9C-101B-9397-08002B2CF9AE}" pid="3" name="MediaServiceImageTags">
    <vt:lpwstr/>
  </property>
</Properties>
</file>