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DD483" w14:textId="736A608A" w:rsidR="006319F3" w:rsidRPr="00A50E72" w:rsidRDefault="002653CD" w:rsidP="00336225">
      <w:pPr>
        <w:jc w:val="right"/>
        <w:rPr>
          <w:rFonts w:cs="Arial"/>
          <w:b/>
        </w:rPr>
      </w:pPr>
      <w:bookmarkStart w:id="0" w:name="_Hlk188613088"/>
      <w:r>
        <w:rPr>
          <w:noProof/>
          <w:lang w:val="en-US" w:eastAsia="en-US"/>
        </w:rPr>
        <w:drawing>
          <wp:anchor distT="0" distB="0" distL="114300" distR="114300" simplePos="0" relativeHeight="251659264" behindDoc="1" locked="0" layoutInCell="1" allowOverlap="1" wp14:anchorId="533EB089" wp14:editId="38D3B304">
            <wp:simplePos x="0" y="0"/>
            <wp:positionH relativeFrom="column">
              <wp:posOffset>907415</wp:posOffset>
            </wp:positionH>
            <wp:positionV relativeFrom="paragraph">
              <wp:posOffset>11430</wp:posOffset>
            </wp:positionV>
            <wp:extent cx="571500" cy="581025"/>
            <wp:effectExtent l="0" t="0" r="0" b="9525"/>
            <wp:wrapTight wrapText="bothSides">
              <wp:wrapPolygon edited="0">
                <wp:start x="0" y="0"/>
                <wp:lineTo x="0" y="21246"/>
                <wp:lineTo x="20880" y="21246"/>
                <wp:lineTo x="20880" y="0"/>
                <wp:lineTo x="0" y="0"/>
              </wp:wrapPolygon>
            </wp:wrapTight>
            <wp:docPr id="4" name="Picture 4"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14:sizeRelH relativeFrom="page">
              <wp14:pctWidth>0</wp14:pctWidth>
            </wp14:sizeRelH>
            <wp14:sizeRelV relativeFrom="page">
              <wp14:pctHeight>0</wp14:pctHeight>
            </wp14:sizeRelV>
          </wp:anchor>
        </w:drawing>
      </w:r>
      <w:r w:rsidR="00195F7C" w:rsidRPr="00195F7C">
        <w:rPr>
          <w:rFonts w:cs="Arial"/>
          <w:b/>
          <w:szCs w:val="20"/>
        </w:rPr>
        <w:t xml:space="preserve"> </w:t>
      </w:r>
      <w:r w:rsidR="00195F7C">
        <w:rPr>
          <w:rFonts w:cs="Arial"/>
          <w:b/>
          <w:szCs w:val="20"/>
        </w:rPr>
        <w:t>ΑΔΙΑΒΑΘΜΗΤΟ - ΚΑΝΟΝΙΚΟ</w:t>
      </w:r>
    </w:p>
    <w:p w14:paraId="7C70482B" w14:textId="2C877B6B" w:rsidR="006319F3" w:rsidRDefault="006319F3" w:rsidP="006921D5">
      <w:pPr>
        <w:tabs>
          <w:tab w:val="center" w:pos="5760"/>
        </w:tabs>
        <w:spacing w:after="0"/>
        <w:rPr>
          <w:rFonts w:cs="Arial"/>
          <w:b/>
        </w:rPr>
      </w:pPr>
    </w:p>
    <w:p w14:paraId="64967EFA" w14:textId="77777777" w:rsidR="006921D5" w:rsidRDefault="006921D5" w:rsidP="006921D5">
      <w:pPr>
        <w:tabs>
          <w:tab w:val="center" w:pos="5760"/>
        </w:tabs>
        <w:spacing w:after="0"/>
        <w:rPr>
          <w:rFonts w:cs="Arial"/>
          <w:szCs w:val="20"/>
        </w:rPr>
      </w:pPr>
    </w:p>
    <w:p w14:paraId="22ACA3EC" w14:textId="77777777" w:rsidR="006319F3" w:rsidRPr="00657705" w:rsidRDefault="006319F3" w:rsidP="006921D5">
      <w:pPr>
        <w:tabs>
          <w:tab w:val="center" w:pos="1890"/>
        </w:tabs>
        <w:spacing w:after="0"/>
        <w:ind w:left="-18"/>
        <w:rPr>
          <w:rFonts w:cs="Arial"/>
          <w:b/>
          <w:color w:val="003DCC"/>
          <w:szCs w:val="20"/>
        </w:rPr>
      </w:pPr>
      <w:r>
        <w:rPr>
          <w:rFonts w:cs="Arial"/>
          <w:b/>
          <w:color w:val="003DCC"/>
          <w:szCs w:val="20"/>
        </w:rPr>
        <w:tab/>
      </w:r>
      <w:r w:rsidRPr="00657705">
        <w:rPr>
          <w:rFonts w:cs="Arial"/>
          <w:b/>
          <w:color w:val="003DCC"/>
          <w:szCs w:val="20"/>
        </w:rPr>
        <w:t>ΕΛΛΗΝΙΚΗ ΔΗΜΟΚΡΑΤΙΑ</w:t>
      </w:r>
    </w:p>
    <w:p w14:paraId="54195C4A" w14:textId="77777777" w:rsidR="006319F3" w:rsidRPr="00657705" w:rsidRDefault="006319F3" w:rsidP="006921D5">
      <w:pPr>
        <w:tabs>
          <w:tab w:val="center" w:pos="1890"/>
        </w:tabs>
        <w:spacing w:after="0"/>
        <w:ind w:left="-18"/>
        <w:rPr>
          <w:rFonts w:cs="Arial"/>
          <w:color w:val="003DCC"/>
          <w:szCs w:val="20"/>
        </w:rPr>
      </w:pPr>
      <w:r w:rsidRPr="00657705">
        <w:rPr>
          <w:rFonts w:cs="Arial"/>
          <w:color w:val="003DCC"/>
          <w:szCs w:val="20"/>
        </w:rPr>
        <w:tab/>
        <w:t>Πρεσβεία της Ελλάδος</w:t>
      </w:r>
    </w:p>
    <w:p w14:paraId="6BF66EA1" w14:textId="77777777" w:rsidR="006319F3" w:rsidRPr="00657705" w:rsidRDefault="006319F3" w:rsidP="006921D5">
      <w:pPr>
        <w:tabs>
          <w:tab w:val="center" w:pos="1890"/>
          <w:tab w:val="center" w:pos="5760"/>
        </w:tabs>
        <w:spacing w:after="0"/>
        <w:rPr>
          <w:rFonts w:cs="Arial"/>
          <w:color w:val="003DCC"/>
          <w:szCs w:val="20"/>
        </w:rPr>
      </w:pPr>
      <w:r w:rsidRPr="00657705">
        <w:rPr>
          <w:rFonts w:cs="Arial"/>
          <w:color w:val="003DCC"/>
          <w:szCs w:val="20"/>
        </w:rPr>
        <w:tab/>
        <w:t>Ουάσιγκτων</w:t>
      </w:r>
    </w:p>
    <w:p w14:paraId="67FEF7F8" w14:textId="77777777" w:rsidR="006319F3" w:rsidRPr="00657705" w:rsidRDefault="006319F3" w:rsidP="006921D5">
      <w:pPr>
        <w:tabs>
          <w:tab w:val="center" w:pos="1890"/>
        </w:tabs>
        <w:spacing w:after="0"/>
        <w:ind w:left="-18"/>
        <w:rPr>
          <w:rFonts w:cs="Arial"/>
          <w:color w:val="003DCC"/>
          <w:sz w:val="18"/>
          <w:szCs w:val="18"/>
        </w:rPr>
      </w:pPr>
      <w:r w:rsidRPr="00657705">
        <w:rPr>
          <w:rFonts w:cs="Arial"/>
          <w:color w:val="003DCC"/>
          <w:sz w:val="18"/>
          <w:szCs w:val="18"/>
        </w:rPr>
        <w:tab/>
        <w:t>Γραφείο Οικονομικών &amp; Εμπορικών Υποθέσεων</w:t>
      </w:r>
    </w:p>
    <w:p w14:paraId="4DD3EBD0" w14:textId="7DDF7A96" w:rsidR="006319F3" w:rsidRPr="00657705" w:rsidRDefault="006319F3" w:rsidP="004C06E7">
      <w:pPr>
        <w:tabs>
          <w:tab w:val="center" w:pos="1890"/>
        </w:tabs>
        <w:spacing w:after="0"/>
        <w:jc w:val="right"/>
        <w:rPr>
          <w:rFonts w:cs="Arial"/>
          <w:szCs w:val="20"/>
        </w:rPr>
      </w:pPr>
      <w:r w:rsidRPr="00657705">
        <w:rPr>
          <w:rFonts w:cs="Arial"/>
          <w:sz w:val="16"/>
          <w:szCs w:val="16"/>
        </w:rPr>
        <w:tab/>
      </w:r>
      <w:r w:rsidRPr="00657705">
        <w:rPr>
          <w:rFonts w:cs="Arial"/>
          <w:sz w:val="16"/>
          <w:szCs w:val="16"/>
        </w:rPr>
        <w:tab/>
        <w:t xml:space="preserve">     </w:t>
      </w:r>
      <w:r w:rsidRPr="00657705">
        <w:rPr>
          <w:rFonts w:cs="Arial"/>
          <w:szCs w:val="20"/>
        </w:rPr>
        <w:tab/>
        <w:t xml:space="preserve">Ουάσιγκτων, </w:t>
      </w:r>
      <w:r w:rsidR="00195F7C">
        <w:rPr>
          <w:rFonts w:cs="Arial"/>
          <w:szCs w:val="20"/>
        </w:rPr>
        <w:t>2</w:t>
      </w:r>
      <w:r w:rsidR="00AF47C7">
        <w:rPr>
          <w:rFonts w:cs="Arial"/>
          <w:szCs w:val="20"/>
        </w:rPr>
        <w:t>4</w:t>
      </w:r>
      <w:r w:rsidRPr="00657705">
        <w:rPr>
          <w:rFonts w:cs="Arial"/>
          <w:szCs w:val="20"/>
        </w:rPr>
        <w:t xml:space="preserve"> </w:t>
      </w:r>
      <w:r w:rsidR="00434802" w:rsidRPr="00657705">
        <w:rPr>
          <w:rFonts w:cs="Arial"/>
          <w:szCs w:val="20"/>
        </w:rPr>
        <w:t>Ιου</w:t>
      </w:r>
      <w:r w:rsidR="007E3219">
        <w:rPr>
          <w:rFonts w:cs="Arial"/>
          <w:szCs w:val="20"/>
        </w:rPr>
        <w:t>λ</w:t>
      </w:r>
      <w:r w:rsidR="00434802" w:rsidRPr="00657705">
        <w:rPr>
          <w:rFonts w:cs="Arial"/>
          <w:szCs w:val="20"/>
        </w:rPr>
        <w:t>ίου</w:t>
      </w:r>
      <w:r w:rsidR="00C87A86" w:rsidRPr="00657705">
        <w:rPr>
          <w:rFonts w:cs="Arial"/>
          <w:szCs w:val="20"/>
        </w:rPr>
        <w:t xml:space="preserve"> 2026</w:t>
      </w:r>
    </w:p>
    <w:p w14:paraId="6D73EF3D" w14:textId="383816A4" w:rsidR="00C40288" w:rsidRPr="00195F7C" w:rsidRDefault="006319F3" w:rsidP="00C40288">
      <w:pPr>
        <w:tabs>
          <w:tab w:val="left" w:pos="5580"/>
        </w:tabs>
        <w:jc w:val="right"/>
        <w:rPr>
          <w:rFonts w:cs="Arial"/>
          <w:szCs w:val="20"/>
        </w:rPr>
      </w:pPr>
      <w:r w:rsidRPr="00657705">
        <w:rPr>
          <w:rFonts w:cs="Arial"/>
          <w:szCs w:val="20"/>
        </w:rPr>
        <w:tab/>
        <w:t>Α.Π.</w:t>
      </w:r>
      <w:r w:rsidR="00890428">
        <w:rPr>
          <w:rFonts w:cs="Arial"/>
          <w:szCs w:val="20"/>
        </w:rPr>
        <w:t xml:space="preserve"> </w:t>
      </w:r>
      <w:r w:rsidR="00890428" w:rsidRPr="00C674AA">
        <w:rPr>
          <w:rFonts w:cs="Arial"/>
          <w:szCs w:val="20"/>
        </w:rPr>
        <w:t>1</w:t>
      </w:r>
      <w:r w:rsidR="00195F7C">
        <w:rPr>
          <w:rFonts w:cs="Arial"/>
          <w:szCs w:val="20"/>
        </w:rPr>
        <w:t>6</w:t>
      </w:r>
      <w:r w:rsidR="00DE03E9">
        <w:rPr>
          <w:rFonts w:cs="Arial"/>
          <w:szCs w:val="20"/>
        </w:rPr>
        <w:t>66</w:t>
      </w:r>
    </w:p>
    <w:p w14:paraId="3D640FB8" w14:textId="6CA65A6F" w:rsidR="006921D5" w:rsidRDefault="006921D5" w:rsidP="004C06E7">
      <w:pPr>
        <w:rPr>
          <w:b/>
          <w:bCs/>
          <w:iCs/>
        </w:rPr>
      </w:pPr>
    </w:p>
    <w:p w14:paraId="4DBE20C8" w14:textId="77777777" w:rsidR="00D23A4F" w:rsidRDefault="00D23A4F" w:rsidP="00346E6A">
      <w:pPr>
        <w:spacing w:after="0"/>
        <w:ind w:left="720" w:hanging="720"/>
        <w:jc w:val="center"/>
        <w:rPr>
          <w:rFonts w:cs="Arial"/>
          <w:b/>
          <w:szCs w:val="20"/>
        </w:rPr>
      </w:pPr>
    </w:p>
    <w:p w14:paraId="1EA42E16" w14:textId="77777777" w:rsidR="00D23A4F" w:rsidRDefault="00D23A4F" w:rsidP="00346E6A">
      <w:pPr>
        <w:spacing w:after="0"/>
        <w:ind w:left="720" w:hanging="720"/>
        <w:jc w:val="center"/>
        <w:rPr>
          <w:rFonts w:cs="Arial"/>
          <w:b/>
          <w:szCs w:val="20"/>
        </w:rPr>
      </w:pPr>
    </w:p>
    <w:p w14:paraId="66505225" w14:textId="77777777" w:rsidR="00D23A4F" w:rsidRDefault="00D23A4F" w:rsidP="00346E6A">
      <w:pPr>
        <w:spacing w:after="0"/>
        <w:ind w:left="720" w:hanging="720"/>
        <w:jc w:val="center"/>
        <w:rPr>
          <w:rFonts w:cs="Arial"/>
          <w:b/>
          <w:szCs w:val="20"/>
        </w:rPr>
      </w:pPr>
    </w:p>
    <w:p w14:paraId="6C9FCE89" w14:textId="748A96BB" w:rsidR="00346E6A" w:rsidRPr="00D23A4F" w:rsidRDefault="000C58D2" w:rsidP="00346E6A">
      <w:pPr>
        <w:spacing w:after="0"/>
        <w:ind w:left="720" w:hanging="720"/>
        <w:jc w:val="center"/>
        <w:rPr>
          <w:rFonts w:cs="Arial"/>
          <w:b/>
          <w:szCs w:val="20"/>
        </w:rPr>
      </w:pPr>
      <w:r w:rsidRPr="00D23A4F">
        <w:rPr>
          <w:rFonts w:cs="Arial"/>
          <w:b/>
          <w:szCs w:val="20"/>
        </w:rPr>
        <w:t xml:space="preserve">Επιβολή </w:t>
      </w:r>
      <w:r w:rsidR="00DE03E9" w:rsidRPr="00D23A4F">
        <w:rPr>
          <w:rFonts w:cs="Arial"/>
          <w:b/>
          <w:szCs w:val="20"/>
        </w:rPr>
        <w:t>εισαγωγικών δασμών</w:t>
      </w:r>
      <w:r w:rsidR="00195F7C" w:rsidRPr="00D23A4F">
        <w:rPr>
          <w:rFonts w:cs="Arial"/>
          <w:b/>
          <w:szCs w:val="20"/>
        </w:rPr>
        <w:t xml:space="preserve"> </w:t>
      </w:r>
      <w:r w:rsidR="00DE03E9" w:rsidRPr="00D23A4F">
        <w:rPr>
          <w:rFonts w:cs="Arial"/>
          <w:b/>
          <w:szCs w:val="20"/>
        </w:rPr>
        <w:t xml:space="preserve">των </w:t>
      </w:r>
      <w:r w:rsidRPr="00D23A4F">
        <w:rPr>
          <w:rFonts w:cs="Arial"/>
          <w:b/>
          <w:szCs w:val="20"/>
        </w:rPr>
        <w:t>ΗΠΑ</w:t>
      </w:r>
      <w:r w:rsidR="00DE03E9" w:rsidRPr="00D23A4F">
        <w:rPr>
          <w:rFonts w:cs="Arial"/>
          <w:b/>
          <w:szCs w:val="20"/>
        </w:rPr>
        <w:t xml:space="preserve"> σε προϊόντα ΕΕ</w:t>
      </w:r>
      <w:r w:rsidR="00862ED5" w:rsidRPr="00D23A4F">
        <w:rPr>
          <w:rFonts w:cs="Arial"/>
          <w:b/>
          <w:szCs w:val="20"/>
        </w:rPr>
        <w:t xml:space="preserve"> και άλλ</w:t>
      </w:r>
      <w:r w:rsidR="005930B4">
        <w:rPr>
          <w:rFonts w:cs="Arial"/>
          <w:b/>
          <w:szCs w:val="20"/>
        </w:rPr>
        <w:t>ων</w:t>
      </w:r>
      <w:r w:rsidR="00862ED5" w:rsidRPr="00D23A4F">
        <w:rPr>
          <w:rFonts w:cs="Arial"/>
          <w:b/>
          <w:szCs w:val="20"/>
        </w:rPr>
        <w:t xml:space="preserve"> 60 χ</w:t>
      </w:r>
      <w:r w:rsidR="005930B4">
        <w:rPr>
          <w:rFonts w:cs="Arial"/>
          <w:b/>
          <w:szCs w:val="20"/>
        </w:rPr>
        <w:t>ωρών</w:t>
      </w:r>
    </w:p>
    <w:p w14:paraId="22DDAE19" w14:textId="38F00FED" w:rsidR="00B50F8F" w:rsidRPr="00D23A4F" w:rsidRDefault="00862ED5" w:rsidP="00346E6A">
      <w:pPr>
        <w:spacing w:after="0"/>
        <w:ind w:left="720" w:hanging="720"/>
        <w:jc w:val="center"/>
        <w:rPr>
          <w:rFonts w:cs="Arial"/>
          <w:b/>
          <w:szCs w:val="20"/>
        </w:rPr>
      </w:pPr>
      <w:r w:rsidRPr="00D23A4F">
        <w:rPr>
          <w:rFonts w:cs="Arial"/>
          <w:b/>
          <w:szCs w:val="20"/>
        </w:rPr>
        <w:t xml:space="preserve">βάσει της </w:t>
      </w:r>
      <w:r w:rsidR="00AF47C7" w:rsidRPr="00D23A4F">
        <w:rPr>
          <w:rFonts w:cs="Arial"/>
          <w:b/>
          <w:szCs w:val="20"/>
        </w:rPr>
        <w:t>Έρευνα</w:t>
      </w:r>
      <w:r w:rsidRPr="00D23A4F">
        <w:rPr>
          <w:rFonts w:cs="Arial"/>
          <w:b/>
          <w:szCs w:val="20"/>
        </w:rPr>
        <w:t>ς</w:t>
      </w:r>
      <w:r w:rsidR="00AF47C7" w:rsidRPr="00D23A4F">
        <w:rPr>
          <w:rFonts w:cs="Arial"/>
          <w:b/>
          <w:szCs w:val="20"/>
        </w:rPr>
        <w:t xml:space="preserve"> του Άρθρου 301 για καταναγκαστική εργασία</w:t>
      </w:r>
    </w:p>
    <w:p w14:paraId="00ED5281" w14:textId="77777777" w:rsidR="00346E6A" w:rsidRDefault="00346E6A" w:rsidP="00AF47C7">
      <w:pPr>
        <w:jc w:val="both"/>
      </w:pPr>
    </w:p>
    <w:p w14:paraId="7C9520DC" w14:textId="77777777" w:rsidR="00D23A4F" w:rsidRDefault="00D23A4F" w:rsidP="00AF47C7">
      <w:pPr>
        <w:jc w:val="both"/>
      </w:pPr>
    </w:p>
    <w:p w14:paraId="13C43DFC" w14:textId="77777777" w:rsidR="00D23A4F" w:rsidRDefault="00D23A4F" w:rsidP="00AF47C7">
      <w:pPr>
        <w:jc w:val="both"/>
      </w:pPr>
    </w:p>
    <w:p w14:paraId="7E6B19C8" w14:textId="001A809A" w:rsidR="00AF47C7" w:rsidRDefault="00346E6A" w:rsidP="00AF47C7">
      <w:pPr>
        <w:jc w:val="both"/>
        <w:rPr>
          <w:rFonts w:cs="Arial"/>
          <w:szCs w:val="20"/>
        </w:rPr>
      </w:pPr>
      <w:r>
        <w:t>Σ</w:t>
      </w:r>
      <w:r w:rsidR="00AF47C7">
        <w:t xml:space="preserve">τις 23/7 εξέπνευσε η ισχύς του καθεστώτος εισαγωγικών δασμών, διαρκείας 150 ημερών, </w:t>
      </w:r>
      <w:r w:rsidR="00AF47C7" w:rsidRPr="00AF47C7">
        <w:rPr>
          <w:szCs w:val="20"/>
        </w:rPr>
        <w:t>που είχαν επιβάλει οι ΗΠΑ στις 4/3/2026,</w:t>
      </w:r>
      <w:r w:rsidR="00AF47C7" w:rsidRPr="00AF47C7">
        <w:rPr>
          <w:rFonts w:cs="Arial"/>
          <w:szCs w:val="20"/>
        </w:rPr>
        <w:t xml:space="preserve"> με αιτιολογική βάση τον Νόμο περί Διεθνών Οικονομικών Εξουσιών Έκτακτης Ανάγκης (</w:t>
      </w:r>
      <w:r w:rsidR="00E7100B">
        <w:rPr>
          <w:rFonts w:cs="Arial"/>
          <w:szCs w:val="20"/>
        </w:rPr>
        <w:t xml:space="preserve">Άρθρο 122 - </w:t>
      </w:r>
      <w:r w:rsidR="00AF47C7" w:rsidRPr="00AF47C7">
        <w:rPr>
          <w:rFonts w:cs="Arial"/>
          <w:szCs w:val="20"/>
        </w:rPr>
        <w:t>IEEPA).</w:t>
      </w:r>
      <w:r w:rsidR="00AF47C7">
        <w:rPr>
          <w:rFonts w:cs="Arial"/>
          <w:szCs w:val="20"/>
        </w:rPr>
        <w:t xml:space="preserve"> Με εκείνο το καθεστώς, οι δασμοί επί εισαγωγών από την Ελλάδα και την λοιπή ΕΕ ανέρχονταν σε 10% + δασμό </w:t>
      </w:r>
      <w:r w:rsidR="00AF47C7">
        <w:rPr>
          <w:rFonts w:cs="Arial"/>
          <w:szCs w:val="20"/>
          <w:lang w:val="en-US"/>
        </w:rPr>
        <w:t>MFN</w:t>
      </w:r>
      <w:r w:rsidR="00E7100B" w:rsidRPr="00E7100B">
        <w:rPr>
          <w:rFonts w:cs="Arial"/>
          <w:szCs w:val="20"/>
        </w:rPr>
        <w:t xml:space="preserve"> (</w:t>
      </w:r>
      <w:r w:rsidR="00E7100B">
        <w:rPr>
          <w:rFonts w:cs="Arial"/>
          <w:szCs w:val="20"/>
        </w:rPr>
        <w:t>Ρήτρα Πλέον Ευνοουμένου Κράτους)</w:t>
      </w:r>
      <w:r w:rsidR="00AF47C7">
        <w:rPr>
          <w:rFonts w:cs="Arial"/>
          <w:szCs w:val="20"/>
        </w:rPr>
        <w:t>.</w:t>
      </w:r>
    </w:p>
    <w:p w14:paraId="7A255242" w14:textId="79AEE2B7" w:rsidR="00AF47C7" w:rsidRDefault="00AF47C7" w:rsidP="00AF47C7">
      <w:pPr>
        <w:jc w:val="both"/>
      </w:pPr>
      <w:r>
        <w:t xml:space="preserve">Με την λήξη αυτού του καθεστώτος, </w:t>
      </w:r>
      <w:r w:rsidR="0091698B">
        <w:t xml:space="preserve">αυθημερόν (23/7), </w:t>
      </w:r>
      <w:r w:rsidR="00841684">
        <w:t xml:space="preserve">το </w:t>
      </w:r>
      <w:r w:rsidR="00841684">
        <w:rPr>
          <w:lang w:val="en-US"/>
        </w:rPr>
        <w:t>US</w:t>
      </w:r>
      <w:r w:rsidR="00841684" w:rsidRPr="00841684">
        <w:t xml:space="preserve"> </w:t>
      </w:r>
      <w:r w:rsidR="00841684">
        <w:rPr>
          <w:lang w:val="en-US"/>
        </w:rPr>
        <w:t>Trade</w:t>
      </w:r>
      <w:r w:rsidR="00841684" w:rsidRPr="00841684">
        <w:t xml:space="preserve"> </w:t>
      </w:r>
      <w:r w:rsidR="00841684">
        <w:rPr>
          <w:lang w:val="en-US"/>
        </w:rPr>
        <w:t>Representative</w:t>
      </w:r>
      <w:r w:rsidR="00841684" w:rsidRPr="00841684">
        <w:t xml:space="preserve"> (</w:t>
      </w:r>
      <w:r w:rsidR="00841684">
        <w:rPr>
          <w:lang w:val="en-US"/>
        </w:rPr>
        <w:t>USTR</w:t>
      </w:r>
      <w:r w:rsidR="00841684" w:rsidRPr="00841684">
        <w:t>)</w:t>
      </w:r>
      <w:r>
        <w:t xml:space="preserve"> ανακοίνωσε την επιβολή νέου πλαισίου δασμών, ως αποτέλεσμα της Έρευνας που διεξήχθη βάσει του </w:t>
      </w:r>
      <w:r w:rsidR="00E7100B">
        <w:t>«Άρθρου 301 - Δασμοί Αναγκαστικής Εργασίας (FL)»</w:t>
      </w:r>
      <w:r>
        <w:t>. Η Έρευνα αφορούσε στις οικονομίες 60 χωρών και ξεκίνησε στις 12 Μαρτίου 2026. Τα ευρήματά της και οι προκαταρκτικές αποφάσεις δημοσιεύθηκαν στις 2 Ιουνίου 2026.</w:t>
      </w:r>
    </w:p>
    <w:p w14:paraId="246B3FB7" w14:textId="77777777" w:rsidR="00E7100B" w:rsidRDefault="00E7100B" w:rsidP="00AF47C7">
      <w:pPr>
        <w:jc w:val="both"/>
      </w:pPr>
      <w:r>
        <w:t xml:space="preserve">Βάσει των ευρημάτων, η αμερικανική κυβέρνηση θέσπισε </w:t>
      </w:r>
      <w:r w:rsidR="00AF47C7">
        <w:t>ένα νέο παγκόσμιο δασμολογικό καθεστώς</w:t>
      </w:r>
      <w:r>
        <w:t xml:space="preserve">, </w:t>
      </w:r>
      <w:r w:rsidR="00AF47C7">
        <w:t xml:space="preserve"> </w:t>
      </w:r>
      <w:r w:rsidRPr="00E7100B">
        <w:rPr>
          <w:u w:val="single"/>
        </w:rPr>
        <w:t>με άμεση ισχύ</w:t>
      </w:r>
      <w:r>
        <w:t xml:space="preserve">, </w:t>
      </w:r>
      <w:r w:rsidR="00AF47C7">
        <w:t>που καλύπτει τη</w:t>
      </w:r>
      <w:r>
        <w:t>ν</w:t>
      </w:r>
      <w:r w:rsidR="00AF47C7">
        <w:t xml:space="preserve"> συντριπτική πλειοψηφία των εισαγωγών από τις ΗΠΑ</w:t>
      </w:r>
      <w:r>
        <w:t>.</w:t>
      </w:r>
    </w:p>
    <w:p w14:paraId="578AB55F" w14:textId="77777777" w:rsidR="00841684" w:rsidRDefault="00841684">
      <w:pPr>
        <w:spacing w:after="200" w:line="276" w:lineRule="auto"/>
      </w:pPr>
      <w:r>
        <w:br w:type="page"/>
      </w:r>
    </w:p>
    <w:p w14:paraId="21C02099" w14:textId="63C6AA93" w:rsidR="00E7100B" w:rsidRDefault="00AF47C7" w:rsidP="00AF47C7">
      <w:pPr>
        <w:jc w:val="both"/>
      </w:pPr>
      <w:r>
        <w:lastRenderedPageBreak/>
        <w:t xml:space="preserve">Το νέο δασμολογικό καθεστώς εφαρμόζεται ως εξής: </w:t>
      </w:r>
    </w:p>
    <w:p w14:paraId="26AE3398" w14:textId="34A015DE" w:rsidR="00E7100B" w:rsidRDefault="00E7100B" w:rsidP="00841684">
      <w:pPr>
        <w:pStyle w:val="ListParagraph"/>
        <w:numPr>
          <w:ilvl w:val="0"/>
          <w:numId w:val="22"/>
        </w:numPr>
        <w:spacing w:after="120"/>
        <w:contextualSpacing w:val="0"/>
      </w:pPr>
      <w:r w:rsidRPr="00E7100B">
        <w:rPr>
          <w:b/>
        </w:rPr>
        <w:t>Σ</w:t>
      </w:r>
      <w:r w:rsidR="00AF47C7" w:rsidRPr="00E7100B">
        <w:rPr>
          <w:b/>
        </w:rPr>
        <w:t>υνολικός δασμός 10%</w:t>
      </w:r>
      <w:r>
        <w:t xml:space="preserve"> Άρθρου 301 </w:t>
      </w:r>
      <w:r w:rsidRPr="00E7100B">
        <w:rPr>
          <w:lang w:val="en-US"/>
        </w:rPr>
        <w:t>FL</w:t>
      </w:r>
      <w:r>
        <w:t xml:space="preserve"> για τα </w:t>
      </w:r>
      <w:r w:rsidRPr="00E7100B">
        <w:rPr>
          <w:b/>
        </w:rPr>
        <w:t>προϊόντα προέλευσης ΕΕ και Ταϊβάν</w:t>
      </w:r>
      <w:r>
        <w:rPr>
          <w:b/>
        </w:rPr>
        <w:t>.</w:t>
      </w:r>
    </w:p>
    <w:p w14:paraId="22C46796" w14:textId="77777777" w:rsidR="00841684" w:rsidRPr="00DD3561" w:rsidRDefault="00E7100B" w:rsidP="00841684">
      <w:pPr>
        <w:pStyle w:val="ListParagraph"/>
        <w:numPr>
          <w:ilvl w:val="0"/>
          <w:numId w:val="19"/>
        </w:numPr>
        <w:spacing w:after="120"/>
        <w:ind w:left="1080"/>
        <w:contextualSpacing w:val="0"/>
        <w:rPr>
          <w:b/>
        </w:rPr>
      </w:pPr>
      <w:r w:rsidRPr="00DD3561">
        <w:rPr>
          <w:b/>
          <w:lang w:val="en-US"/>
        </w:rPr>
        <w:t>E</w:t>
      </w:r>
      <w:r w:rsidRPr="00DD3561">
        <w:rPr>
          <w:b/>
        </w:rPr>
        <w:t xml:space="preserve">άν ο δασμός </w:t>
      </w:r>
      <w:r w:rsidRPr="00DD3561">
        <w:rPr>
          <w:b/>
          <w:lang w:val="en-US"/>
        </w:rPr>
        <w:t>MFN</w:t>
      </w:r>
      <w:r w:rsidRPr="00DD3561">
        <w:rPr>
          <w:b/>
        </w:rPr>
        <w:t xml:space="preserve"> είναι κάτω του 10%, τότε εφαρμόζεται ο δασμός 10% Άρθρου 301 </w:t>
      </w:r>
      <w:r w:rsidRPr="00DD3561">
        <w:rPr>
          <w:b/>
          <w:lang w:val="en-US"/>
        </w:rPr>
        <w:t>FL</w:t>
      </w:r>
      <w:r w:rsidRPr="00DD3561">
        <w:rPr>
          <w:b/>
        </w:rPr>
        <w:t>.</w:t>
      </w:r>
    </w:p>
    <w:p w14:paraId="13ECD823" w14:textId="2F8BE82C" w:rsidR="00E7100B" w:rsidRPr="00DD3561" w:rsidRDefault="00E7100B" w:rsidP="00841684">
      <w:pPr>
        <w:pStyle w:val="ListParagraph"/>
        <w:numPr>
          <w:ilvl w:val="0"/>
          <w:numId w:val="19"/>
        </w:numPr>
        <w:ind w:left="1080"/>
        <w:contextualSpacing w:val="0"/>
        <w:rPr>
          <w:b/>
        </w:rPr>
      </w:pPr>
      <w:r w:rsidRPr="00DD3561">
        <w:rPr>
          <w:b/>
          <w:lang w:val="en-US"/>
        </w:rPr>
        <w:t>E</w:t>
      </w:r>
      <w:r w:rsidRPr="00DD3561">
        <w:rPr>
          <w:b/>
        </w:rPr>
        <w:t xml:space="preserve">άν ο δασμός </w:t>
      </w:r>
      <w:r w:rsidRPr="00DD3561">
        <w:rPr>
          <w:b/>
          <w:lang w:val="en-US"/>
        </w:rPr>
        <w:t>MFN</w:t>
      </w:r>
      <w:r w:rsidRPr="00DD3561">
        <w:rPr>
          <w:b/>
        </w:rPr>
        <w:t xml:space="preserve"> είναι άνω του 10%, τότε εφαρμόζεται αυτός.</w:t>
      </w:r>
    </w:p>
    <w:p w14:paraId="57E382ED" w14:textId="067645C0" w:rsidR="00841684" w:rsidRPr="00841684" w:rsidRDefault="00E7100B" w:rsidP="00841684">
      <w:pPr>
        <w:pStyle w:val="ListParagraph"/>
        <w:numPr>
          <w:ilvl w:val="0"/>
          <w:numId w:val="22"/>
        </w:numPr>
        <w:spacing w:after="120"/>
        <w:contextualSpacing w:val="0"/>
      </w:pPr>
      <w:r w:rsidRPr="00841684">
        <w:t>Συνολικός δασμός 12,5%</w:t>
      </w:r>
      <w:r w:rsidRPr="00841684">
        <w:rPr>
          <w:b/>
        </w:rPr>
        <w:t xml:space="preserve"> </w:t>
      </w:r>
      <w:r w:rsidRPr="00841684">
        <w:t xml:space="preserve">του άρθρου 301 FL </w:t>
      </w:r>
      <w:r w:rsidR="00841684" w:rsidRPr="00841684">
        <w:t>για τα προϊόντα προέλευσης Ιαπωνίας, Κορέας και Ελβετίας.</w:t>
      </w:r>
    </w:p>
    <w:p w14:paraId="62EE31FA" w14:textId="246B062D" w:rsidR="00841684" w:rsidRPr="00841684" w:rsidRDefault="00841684" w:rsidP="00841684">
      <w:pPr>
        <w:pStyle w:val="ListParagraph"/>
        <w:numPr>
          <w:ilvl w:val="0"/>
          <w:numId w:val="19"/>
        </w:numPr>
        <w:spacing w:after="120"/>
        <w:ind w:left="1080"/>
        <w:contextualSpacing w:val="0"/>
      </w:pPr>
      <w:r w:rsidRPr="00E7100B">
        <w:rPr>
          <w:lang w:val="en-US"/>
        </w:rPr>
        <w:t>E</w:t>
      </w:r>
      <w:r w:rsidRPr="00841684">
        <w:t xml:space="preserve">άν ο δασμός </w:t>
      </w:r>
      <w:r w:rsidRPr="00E7100B">
        <w:rPr>
          <w:lang w:val="en-US"/>
        </w:rPr>
        <w:t>MFN</w:t>
      </w:r>
      <w:r w:rsidRPr="00841684">
        <w:t xml:space="preserve"> είναι κάτω του 1</w:t>
      </w:r>
      <w:r>
        <w:t>2,5</w:t>
      </w:r>
      <w:r w:rsidRPr="00841684">
        <w:t>%, τότε εφαρμόζεται ο δασμός 1</w:t>
      </w:r>
      <w:r>
        <w:t>2,5</w:t>
      </w:r>
      <w:r w:rsidRPr="00841684">
        <w:t xml:space="preserve">% Άρθρου 301 </w:t>
      </w:r>
      <w:r w:rsidRPr="00E7100B">
        <w:rPr>
          <w:lang w:val="en-US"/>
        </w:rPr>
        <w:t>FL</w:t>
      </w:r>
      <w:r w:rsidRPr="00841684">
        <w:t>.</w:t>
      </w:r>
    </w:p>
    <w:p w14:paraId="6700212E" w14:textId="098BD660" w:rsidR="00841684" w:rsidRPr="00841684" w:rsidRDefault="00841684" w:rsidP="00841684">
      <w:pPr>
        <w:pStyle w:val="ListParagraph"/>
        <w:numPr>
          <w:ilvl w:val="0"/>
          <w:numId w:val="19"/>
        </w:numPr>
        <w:ind w:left="1080"/>
        <w:contextualSpacing w:val="0"/>
      </w:pPr>
      <w:r w:rsidRPr="00E7100B">
        <w:rPr>
          <w:lang w:val="en-US"/>
        </w:rPr>
        <w:t>E</w:t>
      </w:r>
      <w:r w:rsidRPr="00841684">
        <w:t xml:space="preserve">άν ο δασμός </w:t>
      </w:r>
      <w:r w:rsidRPr="00E7100B">
        <w:rPr>
          <w:lang w:val="en-US"/>
        </w:rPr>
        <w:t>MFN</w:t>
      </w:r>
      <w:r w:rsidRPr="00841684">
        <w:t xml:space="preserve"> είναι άνω του 1</w:t>
      </w:r>
      <w:r>
        <w:t>2,5</w:t>
      </w:r>
      <w:r w:rsidRPr="00841684">
        <w:t xml:space="preserve">%, τότε εφαρμόζεται αυτός. </w:t>
      </w:r>
    </w:p>
    <w:p w14:paraId="215C5DA1" w14:textId="77777777" w:rsidR="00841684" w:rsidRDefault="00AF47C7" w:rsidP="00841684">
      <w:pPr>
        <w:ind w:left="720" w:hanging="360"/>
        <w:jc w:val="both"/>
      </w:pPr>
      <w:r w:rsidRPr="00841684">
        <w:t xml:space="preserve">3. </w:t>
      </w:r>
      <w:r w:rsidR="00841684">
        <w:tab/>
      </w:r>
      <w:r w:rsidRPr="00841684">
        <w:t xml:space="preserve">Πρόσθετος δασμός κατ' αξίαν 10% του άρθρου 301 FL (10% + </w:t>
      </w:r>
      <w:r w:rsidR="00E7100B" w:rsidRPr="00841684">
        <w:t>MFN</w:t>
      </w:r>
      <w:r w:rsidRPr="00841684">
        <w:t>) για τα προϊόντα</w:t>
      </w:r>
      <w:r>
        <w:t xml:space="preserve"> καταγωγής Αργεντινής, Μπαγκλαντές, Καμπότζης, Καναδά, Ισημερινού, Ελ Σαλβαδόρ, Γουατεμάλα, Ονδούρα, Ινδία, Ινδονησία, Ιορδανία, Μαλαισία, Μεξικό, Πακιστάν, Σρι Λάνκα, Τρινιντάντ και Τομπάγκο και Ηνωμένο Βασίλειο. Αυτές οι οικονομίες </w:t>
      </w:r>
      <w:r w:rsidR="00841684">
        <w:t>λαμβάνουν</w:t>
      </w:r>
      <w:r>
        <w:t xml:space="preserve"> ευνοϊκότερη μεταχείριση, καθώς είτε έχουν σε ισχύ απαγόρευση καταναγκαστικής εργασίας, είτε έχουν δεσμευ</w:t>
      </w:r>
      <w:r w:rsidR="00841684">
        <w:t>θ</w:t>
      </w:r>
      <w:r>
        <w:t xml:space="preserve">εί να την επιβάλουν είτε έχουν επιβάλει μερικό καθεστώς προς τούτο. Για το Μπαγκλαντές, την Καμπότζη, την Ινδονησία και τη Μαλαισία, η USTR θα θεσπίσει μια ειδική δασμολογική ποσόστωση για τα κλωστοϋφαντουργικά προϊόντα σε μεταγενέστερο στάδιο, ανάλογα με το επίπεδο εισαγωγών αμερικανικού βαμβακιού σε αυτές τις χώρες, αντικαθιστώντας τον δασμό 10% για τα εν λόγω προϊόντα. </w:t>
      </w:r>
    </w:p>
    <w:p w14:paraId="01DC942A" w14:textId="77777777" w:rsidR="00841684" w:rsidRDefault="00AF47C7" w:rsidP="00841684">
      <w:pPr>
        <w:spacing w:after="360"/>
        <w:ind w:left="720" w:hanging="360"/>
        <w:jc w:val="both"/>
      </w:pPr>
      <w:r>
        <w:t xml:space="preserve">4. </w:t>
      </w:r>
      <w:r w:rsidR="00841684">
        <w:tab/>
      </w:r>
      <w:r>
        <w:t xml:space="preserve">Δασμός κατ' αξίαν 12,5% του άρθρου 301 </w:t>
      </w:r>
      <w:r w:rsidR="00841684">
        <w:rPr>
          <w:lang w:val="en-US"/>
        </w:rPr>
        <w:t>FL</w:t>
      </w:r>
      <w:r>
        <w:t xml:space="preserve"> (12,5% + </w:t>
      </w:r>
      <w:r w:rsidR="00E7100B">
        <w:t>MFN</w:t>
      </w:r>
      <w:r>
        <w:t>) για τα υπόλοιπα 38</w:t>
      </w:r>
      <w:r w:rsidR="00841684" w:rsidRPr="00841684">
        <w:t xml:space="preserve"> </w:t>
      </w:r>
      <w:r w:rsidR="00841684">
        <w:t>κράτη που ήταν αντικείμενο της Έρευνας</w:t>
      </w:r>
      <w:r>
        <w:t xml:space="preserve">. </w:t>
      </w:r>
    </w:p>
    <w:p w14:paraId="0647763B" w14:textId="77777777" w:rsidR="00841684" w:rsidRDefault="00AF47C7" w:rsidP="00841684">
      <w:pPr>
        <w:jc w:val="both"/>
      </w:pPr>
      <w:r>
        <w:t xml:space="preserve">Οι δασμοί του </w:t>
      </w:r>
      <w:r w:rsidR="00841684">
        <w:t>Ά</w:t>
      </w:r>
      <w:r>
        <w:t xml:space="preserve">ρθρου 301 θα ισχύουν για όλα τα προϊόντα, με την επιφύλαξη ορισμένων εξαιρέσεων: </w:t>
      </w:r>
    </w:p>
    <w:p w14:paraId="748FA192" w14:textId="77777777" w:rsidR="00447E56" w:rsidRDefault="00AF47C7" w:rsidP="00841684">
      <w:pPr>
        <w:ind w:left="720" w:hanging="360"/>
        <w:jc w:val="both"/>
      </w:pPr>
      <w:r>
        <w:t xml:space="preserve">1. </w:t>
      </w:r>
      <w:r w:rsidR="00841684">
        <w:tab/>
        <w:t>Ε</w:t>
      </w:r>
      <w:r>
        <w:t>ξαιρούν</w:t>
      </w:r>
      <w:r w:rsidR="00841684">
        <w:t>ται</w:t>
      </w:r>
      <w:r>
        <w:t xml:space="preserve"> ρητά τα μη διαθέσιμα ή κρίσιμα εισαγόμενα αγαθά, συμπεριλαμβανομένης της ενέργειας, των κρίσιμων ορυκτών, των αγροδιατροφικών προϊόντων, ορισμένων φαρμακευτικών συστατικών ή αεροσκαφών, για όλες τις χώρες που καλύπτονται από τους δασμούς του άρθρου 301 FL</w:t>
      </w:r>
      <w:r w:rsidR="00447E56">
        <w:t>.</w:t>
      </w:r>
    </w:p>
    <w:p w14:paraId="6E58112A" w14:textId="77777777" w:rsidR="000D6EEC" w:rsidRDefault="00AF47C7" w:rsidP="00841684">
      <w:pPr>
        <w:ind w:left="720" w:hanging="360"/>
        <w:jc w:val="both"/>
      </w:pPr>
      <w:r>
        <w:t xml:space="preserve">2. </w:t>
      </w:r>
      <w:r w:rsidR="00447E56">
        <w:tab/>
      </w:r>
      <w:r>
        <w:t xml:space="preserve">Οι ΗΠΑ παρέχουν </w:t>
      </w:r>
      <w:r w:rsidRPr="00DD3561">
        <w:rPr>
          <w:b/>
        </w:rPr>
        <w:t>εξαιρέσεις ανά χώρα για την ΕΕ</w:t>
      </w:r>
      <w:r>
        <w:t xml:space="preserve">, καθώς </w:t>
      </w:r>
      <w:r w:rsidR="00447E56">
        <w:t>και εξής χώρες</w:t>
      </w:r>
      <w:r w:rsidR="00447E56" w:rsidRPr="00447E56">
        <w:t xml:space="preserve">: </w:t>
      </w:r>
      <w:r>
        <w:t>Αργεντινή, Μπαγκλαντές, Καμπότζη, Ισημερινό</w:t>
      </w:r>
      <w:r w:rsidR="00447E56">
        <w:t>ς</w:t>
      </w:r>
      <w:r>
        <w:t>, Ελ Σαλβαδόρ, Γουατεμάλα, Ινδονησία, Ιορδανία, Μαλαισία, Ελβετία, Ταϊβάν</w:t>
      </w:r>
      <w:r w:rsidR="00447E56">
        <w:t xml:space="preserve">. Η.Β. </w:t>
      </w:r>
      <w:r>
        <w:t xml:space="preserve">Δεν χορηγούνται εξαιρέσεις για την Ιαπωνία </w:t>
      </w:r>
      <w:r w:rsidR="00447E56">
        <w:t>και τ</w:t>
      </w:r>
      <w:r>
        <w:t xml:space="preserve">ην Κορέα. </w:t>
      </w:r>
      <w:r w:rsidR="003351BE">
        <w:t>Οι εξαιρέσεις που αφορούν την ΕΕ, αναφέρονται στα Παραρτήματα Ι και ΙΙ (</w:t>
      </w:r>
      <w:r w:rsidR="003351BE">
        <w:rPr>
          <w:lang w:val="en-US"/>
        </w:rPr>
        <w:t>Parts</w:t>
      </w:r>
      <w:r w:rsidR="003351BE" w:rsidRPr="003351BE">
        <w:t xml:space="preserve"> </w:t>
      </w:r>
      <w:r w:rsidR="003351BE">
        <w:rPr>
          <w:lang w:val="en-US"/>
        </w:rPr>
        <w:t>A</w:t>
      </w:r>
      <w:r w:rsidR="003351BE" w:rsidRPr="003351BE">
        <w:t xml:space="preserve">, </w:t>
      </w:r>
      <w:r w:rsidR="003351BE">
        <w:rPr>
          <w:lang w:val="en-US"/>
        </w:rPr>
        <w:t>C</w:t>
      </w:r>
      <w:r w:rsidR="003351BE" w:rsidRPr="003351BE">
        <w:t xml:space="preserve">) </w:t>
      </w:r>
      <w:r w:rsidR="003351BE">
        <w:t xml:space="preserve">της </w:t>
      </w:r>
      <w:hyperlink r:id="rId9" w:history="1">
        <w:r w:rsidR="003351BE" w:rsidRPr="003351BE">
          <w:rPr>
            <w:rStyle w:val="Hyperlink"/>
          </w:rPr>
          <w:t>Απόφασης</w:t>
        </w:r>
      </w:hyperlink>
      <w:r w:rsidR="003351BE">
        <w:t xml:space="preserve"> του </w:t>
      </w:r>
      <w:r w:rsidR="003351BE">
        <w:rPr>
          <w:lang w:val="en-US"/>
        </w:rPr>
        <w:t>USTR</w:t>
      </w:r>
      <w:r w:rsidR="003351BE" w:rsidRPr="003351BE">
        <w:t>.</w:t>
      </w:r>
      <w:r w:rsidR="000D6EEC" w:rsidRPr="000D6EEC">
        <w:t xml:space="preserve"> </w:t>
      </w:r>
    </w:p>
    <w:p w14:paraId="2903F82A" w14:textId="547DF515" w:rsidR="00447E56" w:rsidRPr="000D6EEC" w:rsidRDefault="000D6EEC" w:rsidP="000D6EEC">
      <w:pPr>
        <w:ind w:left="720"/>
        <w:jc w:val="both"/>
        <w:rPr>
          <w:u w:val="single"/>
        </w:rPr>
      </w:pPr>
      <w:r w:rsidRPr="000D6EEC">
        <w:rPr>
          <w:u w:val="single"/>
        </w:rPr>
        <w:t>Σε ό,τι αφορά τα προϊόντα ελληνικού ενδιαφέροντος που περιλαμβάνονται στα ανωτέρω Παραρτήματα και εξαιρούνται των δασμών, θα επανέλθουμε με νεώτερο έγγραφό μας, μετά από αναλυτική σύγκριση των Παραρτημάτων και των δασμολογικών κλάσεων των ελληνικών εξαγωγών</w:t>
      </w:r>
      <w:r>
        <w:rPr>
          <w:u w:val="single"/>
        </w:rPr>
        <w:t xml:space="preserve"> στις ΗΠΑ</w:t>
      </w:r>
      <w:r w:rsidRPr="000D6EEC">
        <w:rPr>
          <w:u w:val="single"/>
        </w:rPr>
        <w:t>.</w:t>
      </w:r>
    </w:p>
    <w:p w14:paraId="2033EEB9" w14:textId="7E678769" w:rsidR="00447E56" w:rsidRDefault="00AF47C7" w:rsidP="00841684">
      <w:pPr>
        <w:ind w:left="720" w:hanging="360"/>
        <w:jc w:val="both"/>
      </w:pPr>
      <w:r>
        <w:t xml:space="preserve">3. </w:t>
      </w:r>
      <w:r w:rsidR="00447E56">
        <w:tab/>
      </w:r>
      <w:r w:rsidR="00447E56" w:rsidRPr="00DD3561">
        <w:rPr>
          <w:b/>
        </w:rPr>
        <w:t>Για τα</w:t>
      </w:r>
      <w:r w:rsidRPr="00DD3561">
        <w:rPr>
          <w:b/>
        </w:rPr>
        <w:t xml:space="preserve"> προϊόντα που υπόκεινται σ</w:t>
      </w:r>
      <w:r w:rsidR="00447E56" w:rsidRPr="00DD3561">
        <w:rPr>
          <w:b/>
        </w:rPr>
        <w:t>ε</w:t>
      </w:r>
      <w:r w:rsidRPr="00DD3561">
        <w:rPr>
          <w:b/>
        </w:rPr>
        <w:t xml:space="preserve"> ισχύοντες δασμούς </w:t>
      </w:r>
      <w:r w:rsidR="00447E56" w:rsidRPr="00DD3561">
        <w:rPr>
          <w:b/>
        </w:rPr>
        <w:t xml:space="preserve">βάσει </w:t>
      </w:r>
      <w:r w:rsidRPr="00DD3561">
        <w:rPr>
          <w:b/>
        </w:rPr>
        <w:t>του άρθρου 232</w:t>
      </w:r>
      <w:r w:rsidR="00DD3561">
        <w:rPr>
          <w:b/>
        </w:rPr>
        <w:t xml:space="preserve"> (όπως προϊόντα σιδήρου, αλουμινίου, χαλκού και παράγωγα αυτών)</w:t>
      </w:r>
      <w:r w:rsidR="00447E56" w:rsidRPr="00DD3561">
        <w:rPr>
          <w:b/>
        </w:rPr>
        <w:t>, αυτοί</w:t>
      </w:r>
      <w:r w:rsidRPr="00DD3561">
        <w:rPr>
          <w:b/>
        </w:rPr>
        <w:t xml:space="preserve"> δεν σωρεύονται με τον δασμό του άρθρου 301</w:t>
      </w:r>
      <w:r w:rsidR="00447E56" w:rsidRPr="00DD3561">
        <w:rPr>
          <w:b/>
        </w:rPr>
        <w:t xml:space="preserve"> </w:t>
      </w:r>
      <w:r w:rsidR="00447E56" w:rsidRPr="00DD3561">
        <w:rPr>
          <w:b/>
          <w:lang w:val="en-US"/>
        </w:rPr>
        <w:t>FL</w:t>
      </w:r>
      <w:r w:rsidR="00DD3561">
        <w:rPr>
          <w:b/>
        </w:rPr>
        <w:t xml:space="preserve"> και συνεχίζουν να ισχύουν ως έχουν</w:t>
      </w:r>
      <w:r>
        <w:t>.</w:t>
      </w:r>
    </w:p>
    <w:p w14:paraId="54D127F1" w14:textId="77777777" w:rsidR="00447E56" w:rsidRDefault="00AF47C7" w:rsidP="00841684">
      <w:pPr>
        <w:ind w:left="720" w:hanging="360"/>
        <w:jc w:val="both"/>
      </w:pPr>
      <w:r>
        <w:lastRenderedPageBreak/>
        <w:t xml:space="preserve">4. </w:t>
      </w:r>
      <w:r w:rsidR="00447E56">
        <w:tab/>
      </w:r>
      <w:r>
        <w:t xml:space="preserve">Ο δασμός </w:t>
      </w:r>
      <w:r w:rsidR="00447E56">
        <w:t xml:space="preserve">βάσει </w:t>
      </w:r>
      <w:r>
        <w:t xml:space="preserve">του άρθρου 301 </w:t>
      </w:r>
      <w:r w:rsidR="00447E56">
        <w:rPr>
          <w:lang w:val="en-US"/>
        </w:rPr>
        <w:t>FL</w:t>
      </w:r>
      <w:r w:rsidR="00447E56" w:rsidRPr="00447E56">
        <w:t xml:space="preserve"> </w:t>
      </w:r>
      <w:r>
        <w:t>δεν θα ισχύει για τον Καναδά και το Μεξικό</w:t>
      </w:r>
      <w:r w:rsidR="00447E56" w:rsidRPr="00447E56">
        <w:t xml:space="preserve">, </w:t>
      </w:r>
      <w:r>
        <w:t xml:space="preserve"> για τα προϊόντα που επωφελούνται από προτιμήσεις βάσει της USMCA.</w:t>
      </w:r>
    </w:p>
    <w:p w14:paraId="3707D7D5" w14:textId="77777777" w:rsidR="00447E56" w:rsidRDefault="00AF47C7" w:rsidP="00841684">
      <w:pPr>
        <w:ind w:left="720" w:hanging="360"/>
        <w:jc w:val="both"/>
      </w:pPr>
      <w:r>
        <w:t>5. Ο δασμός του άρθρου 301 δεν θα ισχύει</w:t>
      </w:r>
      <w:r w:rsidR="00447E56">
        <w:t>,</w:t>
      </w:r>
      <w:r>
        <w:t xml:space="preserve"> </w:t>
      </w:r>
      <w:r w:rsidR="00447E56">
        <w:t>επίσης,</w:t>
      </w:r>
      <w:r>
        <w:t xml:space="preserve"> για τα κλωστοϋφαντουργικά προϊόντα και τα είδη ένδυσης που υπόκεινται στ</w:t>
      </w:r>
      <w:r w:rsidR="00447E56">
        <w:t xml:space="preserve">ην Συμφωνία Ελευθέρου Εμπορίου </w:t>
      </w:r>
      <w:r w:rsidR="00447E56" w:rsidRPr="00447E56">
        <w:t>(</w:t>
      </w:r>
      <w:r w:rsidR="00447E56">
        <w:rPr>
          <w:lang w:val="en-US"/>
        </w:rPr>
        <w:t>FTA</w:t>
      </w:r>
      <w:r w:rsidR="00447E56" w:rsidRPr="00447E56">
        <w:t xml:space="preserve">) </w:t>
      </w:r>
      <w:r w:rsidR="00447E56">
        <w:t>ΗΠΑ – Κεντρικής Αμερικής.</w:t>
      </w:r>
    </w:p>
    <w:p w14:paraId="66F670F4" w14:textId="77777777" w:rsidR="00447E56" w:rsidRDefault="00447E56" w:rsidP="00DD3561">
      <w:pPr>
        <w:spacing w:after="120"/>
        <w:ind w:left="720" w:hanging="360"/>
        <w:jc w:val="both"/>
      </w:pPr>
      <w:r>
        <w:t xml:space="preserve">Ειδικότερα, σε ό,τι αφορά την </w:t>
      </w:r>
      <w:r w:rsidR="00AF47C7">
        <w:t>ΕΕ:</w:t>
      </w:r>
    </w:p>
    <w:p w14:paraId="382170F6" w14:textId="77777777" w:rsidR="0091698B" w:rsidRDefault="00AF47C7" w:rsidP="00DD3561">
      <w:pPr>
        <w:spacing w:after="120"/>
        <w:ind w:left="720" w:hanging="360"/>
        <w:jc w:val="both"/>
      </w:pPr>
      <w:r w:rsidRPr="00447E56">
        <w:t xml:space="preserve">1. </w:t>
      </w:r>
      <w:r w:rsidR="0091698B">
        <w:tab/>
        <w:t>Τηρώντας</w:t>
      </w:r>
      <w:r>
        <w:t xml:space="preserve"> τη</w:t>
      </w:r>
      <w:r w:rsidR="0091698B">
        <w:t>ν</w:t>
      </w:r>
      <w:r>
        <w:t xml:space="preserve"> δέσμευση των ΗΠΑ στην πολιτική </w:t>
      </w:r>
      <w:r w:rsidR="0091698B">
        <w:t>Σ</w:t>
      </w:r>
      <w:r>
        <w:t xml:space="preserve">υμφωνία της 27ης Ιουλίου 2025 και την επακόλουθη Κοινή Δήλωση ΕΕ-ΗΠΑ, οι ΗΠΑ επιβάλλουν έναν ενιαίο δασμό 10% στα προϊόντα καταγωγής ΕΕ. Αυτό βρίσκεται εντός του ορίου του μέγιστου δασμολογικού ανώτατου ορίου του 15%. Συνεπώς, τα προϊόντα της ΕΕ θα υπόκεινται σε δασμολογικό ανώτατο όριο 10%, εκτός εάν το επίπεδο του δασμού </w:t>
      </w:r>
      <w:r w:rsidR="00E7100B">
        <w:t>MFN</w:t>
      </w:r>
      <w:r>
        <w:t xml:space="preserve"> είναι υψηλότερο από 10%, οπότε θα υπερισχύσει το επίπεδο του δασμού </w:t>
      </w:r>
      <w:r w:rsidR="00E7100B">
        <w:t>MFN</w:t>
      </w:r>
      <w:r>
        <w:t>.</w:t>
      </w:r>
    </w:p>
    <w:p w14:paraId="4EAA9121" w14:textId="77777777" w:rsidR="0091698B" w:rsidRDefault="00AF47C7" w:rsidP="00841684">
      <w:pPr>
        <w:ind w:left="720" w:hanging="360"/>
        <w:jc w:val="both"/>
      </w:pPr>
      <w:r>
        <w:t xml:space="preserve">2. </w:t>
      </w:r>
      <w:r w:rsidR="0091698B">
        <w:tab/>
      </w:r>
      <w:r>
        <w:t xml:space="preserve">Οι ΗΠΑ επαναφέρουν όλες τις ειδικές για την ΕΕ εξαιρέσεις, οι οποίες ίσχυαν πριν από τις 24 Φεβρουαρίου και όπως ορίζονται στην κοινή δήλωση ΕΕ-ΗΠΑ. Αυτό περιλαμβάνει για παράδειγμα </w:t>
      </w:r>
      <w:r w:rsidR="0091698B">
        <w:t xml:space="preserve">τον </w:t>
      </w:r>
      <w:r>
        <w:t xml:space="preserve">φελλό </w:t>
      </w:r>
      <w:r w:rsidR="0091698B">
        <w:t xml:space="preserve">κσι τους </w:t>
      </w:r>
      <w:r>
        <w:t xml:space="preserve">πολύτιμους λίθους (βλ. παράρτημα II μέρος Γ της </w:t>
      </w:r>
      <w:r w:rsidR="0091698B">
        <w:t>Α</w:t>
      </w:r>
      <w:r>
        <w:t xml:space="preserve">νακοίνωσης </w:t>
      </w:r>
      <w:r w:rsidR="0091698B">
        <w:t>Δ</w:t>
      </w:r>
      <w:r>
        <w:t xml:space="preserve">ράσης). </w:t>
      </w:r>
    </w:p>
    <w:p w14:paraId="121BD35C" w14:textId="77777777" w:rsidR="0091698B" w:rsidRPr="0091698B" w:rsidRDefault="0091698B" w:rsidP="00DD3561">
      <w:pPr>
        <w:spacing w:after="120"/>
        <w:ind w:left="720" w:hanging="360"/>
        <w:jc w:val="both"/>
      </w:pPr>
      <w:r>
        <w:t>Ωστόσο, θα πρέπει να συνεκτιμηθούν τα εξής</w:t>
      </w:r>
      <w:r w:rsidRPr="0091698B">
        <w:t>:</w:t>
      </w:r>
    </w:p>
    <w:p w14:paraId="6D8587CC" w14:textId="7F7748E3" w:rsidR="00FB6758" w:rsidRDefault="0091698B" w:rsidP="00DD3561">
      <w:pPr>
        <w:spacing w:after="120"/>
        <w:ind w:left="720" w:hanging="360"/>
        <w:jc w:val="both"/>
        <w:rPr>
          <w:rFonts w:cs="Arial"/>
          <w:szCs w:val="20"/>
          <w:lang w:eastAsia="en-US"/>
        </w:rPr>
      </w:pPr>
      <w:r>
        <w:t xml:space="preserve">Α) </w:t>
      </w:r>
      <w:r>
        <w:tab/>
      </w:r>
      <w:r>
        <w:rPr>
          <w:lang w:val="en-US"/>
        </w:rPr>
        <w:t>O</w:t>
      </w:r>
      <w:r w:rsidR="00AF47C7">
        <w:t xml:space="preserve"> δασμός του άρθρου 301 FL</w:t>
      </w:r>
      <w:r>
        <w:t xml:space="preserve"> σχετικά με την καταναγκαστική εργασία</w:t>
      </w:r>
      <w:r w:rsidRPr="0091698B">
        <w:t xml:space="preserve">, </w:t>
      </w:r>
      <w:r>
        <w:t>που ανακοινώθηκε στις 23/7,</w:t>
      </w:r>
      <w:r w:rsidR="00AF47C7">
        <w:t xml:space="preserve"> δεν </w:t>
      </w:r>
      <w:r>
        <w:t>σχετίζεται κατ’ αρχήν με</w:t>
      </w:r>
      <w:r w:rsidR="00AF47C7">
        <w:t xml:space="preserve"> το αποτέλεσμα της </w:t>
      </w:r>
      <w:r>
        <w:t>Έ</w:t>
      </w:r>
      <w:r w:rsidR="00AF47C7">
        <w:t>ρευνας</w:t>
      </w:r>
      <w:r>
        <w:t xml:space="preserve">, βάσει </w:t>
      </w:r>
      <w:r w:rsidR="00AF47C7">
        <w:t xml:space="preserve">του άρθρου 301 σχετικά με την πλεονάζουσα παραγωγική ικανότητα, η οποία </w:t>
      </w:r>
      <w:r>
        <w:t>είναι σε εξέλιξη</w:t>
      </w:r>
      <w:r w:rsidR="00AF47C7">
        <w:t xml:space="preserve">. Σε περίπτωση που οι ΗΠΑ ανακοινώσουν </w:t>
      </w:r>
      <w:r>
        <w:t xml:space="preserve">νέα </w:t>
      </w:r>
      <w:r w:rsidR="00AF47C7">
        <w:t xml:space="preserve">δασμολογική επανόρθωση ως αποτέλεσμα της </w:t>
      </w:r>
      <w:r>
        <w:t>Έ</w:t>
      </w:r>
      <w:r w:rsidR="00AF47C7">
        <w:t xml:space="preserve">ρευνας για την πλεονάζουσα παραγωγική ικανότητα, οι ΗΠΑ </w:t>
      </w:r>
      <w:r>
        <w:t xml:space="preserve">δυνητικά </w:t>
      </w:r>
      <w:r w:rsidR="00AF47C7">
        <w:t>θα μπορούσαν να επιλέξουν να την προσθέσουν στον δασμό του άρθρου 301 FL που ισχύει για την ΕΕ</w:t>
      </w:r>
      <w:r w:rsidR="00086B96" w:rsidRPr="00841684">
        <w:rPr>
          <w:rFonts w:cs="Arial"/>
          <w:szCs w:val="20"/>
          <w:lang w:eastAsia="en-US"/>
        </w:rPr>
        <w:t>.</w:t>
      </w:r>
    </w:p>
    <w:p w14:paraId="1E3433CA" w14:textId="35FEA659" w:rsidR="0091698B" w:rsidRDefault="0091698B" w:rsidP="0091698B">
      <w:pPr>
        <w:ind w:left="720" w:hanging="360"/>
        <w:jc w:val="both"/>
      </w:pPr>
      <w:r>
        <w:t xml:space="preserve">Β) </w:t>
      </w:r>
      <w:r>
        <w:tab/>
        <w:t xml:space="preserve">Συνεπεία της χθεσινής (23/7) επιβολής προστίμου ύψους €ΧΧΧ εκ. ($ΧΧΧ εκ.) στην αμερικανική </w:t>
      </w:r>
      <w:r>
        <w:rPr>
          <w:lang w:val="en-US"/>
        </w:rPr>
        <w:t>Google</w:t>
      </w:r>
      <w:r w:rsidRPr="0091698B">
        <w:t xml:space="preserve"> </w:t>
      </w:r>
      <w:r>
        <w:t xml:space="preserve">από την Ευρωπαϊκή Επιτροπή για ΧΧΧΧΧ, ο Πρόεδρος Τραμπ προχώρησε σε σημερινή ανάρτηση στο ιδιοκτησίας του μέσο κοινωνικής δικτύωσης </w:t>
      </w:r>
      <w:r>
        <w:rPr>
          <w:lang w:val="en-US"/>
        </w:rPr>
        <w:t>Truth</w:t>
      </w:r>
      <w:r w:rsidRPr="0091698B">
        <w:t xml:space="preserve"> </w:t>
      </w:r>
      <w:r>
        <w:rPr>
          <w:lang w:val="en-US"/>
        </w:rPr>
        <w:t>Social</w:t>
      </w:r>
      <w:r w:rsidRPr="0091698B">
        <w:t xml:space="preserve">, </w:t>
      </w:r>
      <w:r>
        <w:t>με την οποία επικρίνει σφοδρά την ΕΕ, θεωρεί την επιβολή του προστίμου ως άδικη πράξη και απειλεί με βαρειά τιμωρία της ΕΕ.</w:t>
      </w:r>
    </w:p>
    <w:p w14:paraId="4A116C97" w14:textId="716CAADE" w:rsidR="003351BE" w:rsidRDefault="0091698B" w:rsidP="003351BE">
      <w:pPr>
        <w:pBdr>
          <w:top w:val="single" w:sz="4" w:space="1" w:color="auto"/>
          <w:left w:val="single" w:sz="4" w:space="4" w:color="auto"/>
          <w:bottom w:val="single" w:sz="4" w:space="1" w:color="auto"/>
          <w:right w:val="single" w:sz="4" w:space="4" w:color="auto"/>
        </w:pBdr>
        <w:ind w:left="360"/>
        <w:jc w:val="both"/>
      </w:pPr>
      <w:r>
        <w:t xml:space="preserve">Εν κατακλείδι, εκτιμούμε κατ’ αρχήν ότι η ανακοίνωση των νέων δασμών βάσει του άρθρου 301 FL </w:t>
      </w:r>
      <w:r w:rsidRPr="000C0746">
        <w:rPr>
          <w:b/>
        </w:rPr>
        <w:t>είναι θετική εξέλιξη</w:t>
      </w:r>
      <w:r w:rsidR="00DD3561" w:rsidRPr="000C0746">
        <w:rPr>
          <w:b/>
        </w:rPr>
        <w:t xml:space="preserve"> για τα ελληνικά προϊόντα</w:t>
      </w:r>
      <w:r w:rsidR="00DD3561">
        <w:t xml:space="preserve">, καθώς καθορίζεται σε 10%, ενώ έως τώρα ήταν 10% + δασμός </w:t>
      </w:r>
      <w:r w:rsidR="00DD3561">
        <w:rPr>
          <w:lang w:val="en-US"/>
        </w:rPr>
        <w:t>MFN</w:t>
      </w:r>
      <w:r w:rsidR="00DD3561" w:rsidRPr="00DD3561">
        <w:t>.</w:t>
      </w:r>
    </w:p>
    <w:p w14:paraId="3A33D989" w14:textId="012E89E4" w:rsidR="00DD3561" w:rsidRDefault="00DD3561" w:rsidP="003351BE">
      <w:pPr>
        <w:pBdr>
          <w:top w:val="single" w:sz="4" w:space="1" w:color="auto"/>
          <w:left w:val="single" w:sz="4" w:space="4" w:color="auto"/>
          <w:bottom w:val="single" w:sz="4" w:space="1" w:color="auto"/>
          <w:right w:val="single" w:sz="4" w:space="4" w:color="auto"/>
        </w:pBdr>
        <w:ind w:left="360"/>
        <w:jc w:val="both"/>
      </w:pPr>
      <w:r>
        <w:t xml:space="preserve">Ωστόσο, η επιβολή προστίμου στην </w:t>
      </w:r>
      <w:r>
        <w:rPr>
          <w:lang w:val="en-US"/>
        </w:rPr>
        <w:t>Google</w:t>
      </w:r>
      <w:r w:rsidRPr="00DD3561">
        <w:t xml:space="preserve">, </w:t>
      </w:r>
      <w:r>
        <w:t>σε συνδυασμό με την εξελίξει Έρευνα βάσει του Άρθρου 30</w:t>
      </w:r>
      <w:r w:rsidR="003351BE">
        <w:t>1</w:t>
      </w:r>
      <w:r>
        <w:t xml:space="preserve"> για την πλεονάζουσα παραγωγική ικανότητα, προκαλούν αβεβαιότητα για την συνέχεια, παρ’ όλο που βάσει του </w:t>
      </w:r>
      <w:bookmarkStart w:id="1" w:name="_GoBack"/>
      <w:r w:rsidRPr="00DD3561">
        <w:rPr>
          <w:rStyle w:val="Strong"/>
          <w:rFonts w:cs="Arial"/>
          <w:lang w:val="en-US"/>
        </w:rPr>
        <w:t>Turnberry</w:t>
      </w:r>
      <w:r w:rsidRPr="00DD3561">
        <w:rPr>
          <w:rStyle w:val="Strong"/>
          <w:rFonts w:cs="Arial"/>
        </w:rPr>
        <w:t xml:space="preserve"> </w:t>
      </w:r>
      <w:r w:rsidR="000C0746">
        <w:rPr>
          <w:rStyle w:val="Strong"/>
          <w:rFonts w:cs="Arial"/>
          <w:lang w:val="en-US"/>
        </w:rPr>
        <w:t>Agreement</w:t>
      </w:r>
      <w:r w:rsidR="000C0746" w:rsidRPr="000C0746">
        <w:rPr>
          <w:rStyle w:val="Strong"/>
          <w:rFonts w:cs="Arial"/>
        </w:rPr>
        <w:t xml:space="preserve"> </w:t>
      </w:r>
      <w:bookmarkEnd w:id="1"/>
      <w:r>
        <w:t>μεταξύ ΕΕ – ΗΠΑ που υπεγράφη στις 27/7/2025</w:t>
      </w:r>
      <w:r w:rsidR="000C0746" w:rsidRPr="000C0746">
        <w:t>,</w:t>
      </w:r>
      <w:r>
        <w:t xml:space="preserve"> και της Κοινής Δήλωσης που ακολούθησε τον Αύγουστο 2025, ο ανώτατος δασμός επί των προϊόντων ΕΕ δεν μπορεί να υπερβαίνει το 15%. </w:t>
      </w:r>
    </w:p>
    <w:p w14:paraId="5A8EE50E" w14:textId="77777777" w:rsidR="00447E56" w:rsidRDefault="00447E56" w:rsidP="00447E56">
      <w:pPr>
        <w:spacing w:after="0"/>
        <w:ind w:left="720" w:hanging="360"/>
        <w:jc w:val="both"/>
      </w:pPr>
      <w:r>
        <w:t>Η</w:t>
      </w:r>
      <w:r w:rsidRPr="00447E56">
        <w:t xml:space="preserve"> </w:t>
      </w:r>
      <w:r>
        <w:t>πλήρης</w:t>
      </w:r>
      <w:r w:rsidRPr="00447E56">
        <w:t xml:space="preserve"> </w:t>
      </w:r>
      <w:r>
        <w:t>ανακοίνωση</w:t>
      </w:r>
      <w:r w:rsidRPr="00447E56">
        <w:t xml:space="preserve"> </w:t>
      </w:r>
      <w:r>
        <w:t>του</w:t>
      </w:r>
      <w:r w:rsidRPr="00447E56">
        <w:t xml:space="preserve"> </w:t>
      </w:r>
      <w:r>
        <w:rPr>
          <w:lang w:val="en-US"/>
        </w:rPr>
        <w:t>USTR</w:t>
      </w:r>
      <w:r w:rsidRPr="00447E56">
        <w:t xml:space="preserve"> </w:t>
      </w:r>
      <w:r>
        <w:t>είναι</w:t>
      </w:r>
      <w:r w:rsidRPr="00447E56">
        <w:t xml:space="preserve"> </w:t>
      </w:r>
      <w:r>
        <w:t>διαθέσιμη</w:t>
      </w:r>
      <w:r w:rsidRPr="00447E56">
        <w:t xml:space="preserve">  </w:t>
      </w:r>
      <w:r>
        <w:t>στην διεύθυνση</w:t>
      </w:r>
      <w:r w:rsidRPr="00447E56">
        <w:t xml:space="preserve">: </w:t>
      </w:r>
    </w:p>
    <w:p w14:paraId="6D303816" w14:textId="2A94B96E" w:rsidR="00FB6758" w:rsidRDefault="00EE0FFB" w:rsidP="003351BE">
      <w:pPr>
        <w:spacing w:after="120"/>
        <w:ind w:left="360"/>
        <w:jc w:val="both"/>
        <w:rPr>
          <w:sz w:val="16"/>
          <w:szCs w:val="16"/>
        </w:rPr>
      </w:pPr>
      <w:hyperlink r:id="rId10" w:history="1">
        <w:r w:rsidR="003351BE" w:rsidRPr="00CF418E">
          <w:rPr>
            <w:rStyle w:val="Hyperlink"/>
            <w:sz w:val="16"/>
            <w:szCs w:val="16"/>
            <w:lang w:val="en-US"/>
          </w:rPr>
          <w:t>https</w:t>
        </w:r>
        <w:r w:rsidR="003351BE" w:rsidRPr="00CF418E">
          <w:rPr>
            <w:rStyle w:val="Hyperlink"/>
            <w:sz w:val="16"/>
            <w:szCs w:val="16"/>
          </w:rPr>
          <w:t>://</w:t>
        </w:r>
        <w:r w:rsidR="003351BE" w:rsidRPr="00CF418E">
          <w:rPr>
            <w:rStyle w:val="Hyperlink"/>
            <w:sz w:val="16"/>
            <w:szCs w:val="16"/>
            <w:lang w:val="en-US"/>
          </w:rPr>
          <w:t>ustr</w:t>
        </w:r>
        <w:r w:rsidR="003351BE" w:rsidRPr="00CF418E">
          <w:rPr>
            <w:rStyle w:val="Hyperlink"/>
            <w:sz w:val="16"/>
            <w:szCs w:val="16"/>
          </w:rPr>
          <w:t>.</w:t>
        </w:r>
        <w:r w:rsidR="003351BE" w:rsidRPr="00CF418E">
          <w:rPr>
            <w:rStyle w:val="Hyperlink"/>
            <w:sz w:val="16"/>
            <w:szCs w:val="16"/>
            <w:lang w:val="en-US"/>
          </w:rPr>
          <w:t>gov</w:t>
        </w:r>
        <w:r w:rsidR="003351BE" w:rsidRPr="00CF418E">
          <w:rPr>
            <w:rStyle w:val="Hyperlink"/>
            <w:sz w:val="16"/>
            <w:szCs w:val="16"/>
          </w:rPr>
          <w:t>/</w:t>
        </w:r>
        <w:r w:rsidR="003351BE" w:rsidRPr="00CF418E">
          <w:rPr>
            <w:rStyle w:val="Hyperlink"/>
            <w:sz w:val="16"/>
            <w:szCs w:val="16"/>
            <w:lang w:val="en-US"/>
          </w:rPr>
          <w:t>about</w:t>
        </w:r>
        <w:r w:rsidR="003351BE" w:rsidRPr="00CF418E">
          <w:rPr>
            <w:rStyle w:val="Hyperlink"/>
            <w:sz w:val="16"/>
            <w:szCs w:val="16"/>
          </w:rPr>
          <w:t>/</w:t>
        </w:r>
        <w:r w:rsidR="003351BE" w:rsidRPr="00CF418E">
          <w:rPr>
            <w:rStyle w:val="Hyperlink"/>
            <w:sz w:val="16"/>
            <w:szCs w:val="16"/>
            <w:lang w:val="en-US"/>
          </w:rPr>
          <w:t>policy</w:t>
        </w:r>
        <w:r w:rsidR="003351BE" w:rsidRPr="00CF418E">
          <w:rPr>
            <w:rStyle w:val="Hyperlink"/>
            <w:sz w:val="16"/>
            <w:szCs w:val="16"/>
          </w:rPr>
          <w:t>-</w:t>
        </w:r>
        <w:r w:rsidR="003351BE" w:rsidRPr="00CF418E">
          <w:rPr>
            <w:rStyle w:val="Hyperlink"/>
            <w:sz w:val="16"/>
            <w:szCs w:val="16"/>
            <w:lang w:val="en-US"/>
          </w:rPr>
          <w:t>offices</w:t>
        </w:r>
        <w:r w:rsidR="003351BE" w:rsidRPr="00CF418E">
          <w:rPr>
            <w:rStyle w:val="Hyperlink"/>
            <w:sz w:val="16"/>
            <w:szCs w:val="16"/>
          </w:rPr>
          <w:t>/</w:t>
        </w:r>
        <w:r w:rsidR="003351BE" w:rsidRPr="00CF418E">
          <w:rPr>
            <w:rStyle w:val="Hyperlink"/>
            <w:sz w:val="16"/>
            <w:szCs w:val="16"/>
            <w:lang w:val="en-US"/>
          </w:rPr>
          <w:t>press</w:t>
        </w:r>
        <w:r w:rsidR="003351BE" w:rsidRPr="00CF418E">
          <w:rPr>
            <w:rStyle w:val="Hyperlink"/>
            <w:sz w:val="16"/>
            <w:szCs w:val="16"/>
          </w:rPr>
          <w:t>-</w:t>
        </w:r>
        <w:r w:rsidR="003351BE" w:rsidRPr="00CF418E">
          <w:rPr>
            <w:rStyle w:val="Hyperlink"/>
            <w:sz w:val="16"/>
            <w:szCs w:val="16"/>
            <w:lang w:val="en-US"/>
          </w:rPr>
          <w:t>office</w:t>
        </w:r>
        <w:r w:rsidR="003351BE" w:rsidRPr="00CF418E">
          <w:rPr>
            <w:rStyle w:val="Hyperlink"/>
            <w:sz w:val="16"/>
            <w:szCs w:val="16"/>
          </w:rPr>
          <w:t>/</w:t>
        </w:r>
        <w:r w:rsidR="003351BE" w:rsidRPr="00CF418E">
          <w:rPr>
            <w:rStyle w:val="Hyperlink"/>
            <w:sz w:val="16"/>
            <w:szCs w:val="16"/>
            <w:lang w:val="en-US"/>
          </w:rPr>
          <w:t>press</w:t>
        </w:r>
        <w:r w:rsidR="003351BE" w:rsidRPr="00CF418E">
          <w:rPr>
            <w:rStyle w:val="Hyperlink"/>
            <w:sz w:val="16"/>
            <w:szCs w:val="16"/>
          </w:rPr>
          <w:t>-</w:t>
        </w:r>
        <w:r w:rsidR="003351BE" w:rsidRPr="00CF418E">
          <w:rPr>
            <w:rStyle w:val="Hyperlink"/>
            <w:sz w:val="16"/>
            <w:szCs w:val="16"/>
            <w:lang w:val="en-US"/>
          </w:rPr>
          <w:t>releases</w:t>
        </w:r>
        <w:r w:rsidR="003351BE" w:rsidRPr="00CF418E">
          <w:rPr>
            <w:rStyle w:val="Hyperlink"/>
            <w:sz w:val="16"/>
            <w:szCs w:val="16"/>
          </w:rPr>
          <w:t>/2026/</w:t>
        </w:r>
        <w:r w:rsidR="003351BE" w:rsidRPr="00CF418E">
          <w:rPr>
            <w:rStyle w:val="Hyperlink"/>
            <w:sz w:val="16"/>
            <w:szCs w:val="16"/>
            <w:lang w:val="en-US"/>
          </w:rPr>
          <w:t>july</w:t>
        </w:r>
        <w:r w:rsidR="003351BE" w:rsidRPr="00CF418E">
          <w:rPr>
            <w:rStyle w:val="Hyperlink"/>
            <w:sz w:val="16"/>
            <w:szCs w:val="16"/>
          </w:rPr>
          <w:t>/</w:t>
        </w:r>
        <w:r w:rsidR="003351BE" w:rsidRPr="00CF418E">
          <w:rPr>
            <w:rStyle w:val="Hyperlink"/>
            <w:sz w:val="16"/>
            <w:szCs w:val="16"/>
            <w:lang w:val="en-US"/>
          </w:rPr>
          <w:t>ustr</w:t>
        </w:r>
        <w:r w:rsidR="003351BE" w:rsidRPr="00CF418E">
          <w:rPr>
            <w:rStyle w:val="Hyperlink"/>
            <w:sz w:val="16"/>
            <w:szCs w:val="16"/>
          </w:rPr>
          <w:t>-</w:t>
        </w:r>
        <w:r w:rsidR="003351BE" w:rsidRPr="00CF418E">
          <w:rPr>
            <w:rStyle w:val="Hyperlink"/>
            <w:sz w:val="16"/>
            <w:szCs w:val="16"/>
            <w:lang w:val="en-US"/>
          </w:rPr>
          <w:t>takes</w:t>
        </w:r>
        <w:r w:rsidR="003351BE" w:rsidRPr="00CF418E">
          <w:rPr>
            <w:rStyle w:val="Hyperlink"/>
            <w:sz w:val="16"/>
            <w:szCs w:val="16"/>
          </w:rPr>
          <w:t>-</w:t>
        </w:r>
        <w:r w:rsidR="003351BE" w:rsidRPr="00CF418E">
          <w:rPr>
            <w:rStyle w:val="Hyperlink"/>
            <w:sz w:val="16"/>
            <w:szCs w:val="16"/>
            <w:lang w:val="en-US"/>
          </w:rPr>
          <w:t>action</w:t>
        </w:r>
        <w:r w:rsidR="003351BE" w:rsidRPr="00CF418E">
          <w:rPr>
            <w:rStyle w:val="Hyperlink"/>
            <w:sz w:val="16"/>
            <w:szCs w:val="16"/>
          </w:rPr>
          <w:t>-</w:t>
        </w:r>
        <w:r w:rsidR="003351BE" w:rsidRPr="00CF418E">
          <w:rPr>
            <w:rStyle w:val="Hyperlink"/>
            <w:sz w:val="16"/>
            <w:szCs w:val="16"/>
            <w:lang w:val="en-US"/>
          </w:rPr>
          <w:t>forced</w:t>
        </w:r>
        <w:r w:rsidR="003351BE" w:rsidRPr="00CF418E">
          <w:rPr>
            <w:rStyle w:val="Hyperlink"/>
            <w:sz w:val="16"/>
            <w:szCs w:val="16"/>
          </w:rPr>
          <w:t>-</w:t>
        </w:r>
        <w:r w:rsidR="003351BE" w:rsidRPr="00CF418E">
          <w:rPr>
            <w:rStyle w:val="Hyperlink"/>
            <w:sz w:val="16"/>
            <w:szCs w:val="16"/>
            <w:lang w:val="en-US"/>
          </w:rPr>
          <w:t>labor</w:t>
        </w:r>
        <w:r w:rsidR="003351BE" w:rsidRPr="00CF418E">
          <w:rPr>
            <w:rStyle w:val="Hyperlink"/>
            <w:sz w:val="16"/>
            <w:szCs w:val="16"/>
          </w:rPr>
          <w:t>-</w:t>
        </w:r>
        <w:r w:rsidR="003351BE" w:rsidRPr="00CF418E">
          <w:rPr>
            <w:rStyle w:val="Hyperlink"/>
            <w:sz w:val="16"/>
            <w:szCs w:val="16"/>
            <w:lang w:val="en-US"/>
          </w:rPr>
          <w:t>section</w:t>
        </w:r>
        <w:r w:rsidR="003351BE" w:rsidRPr="00CF418E">
          <w:rPr>
            <w:rStyle w:val="Hyperlink"/>
            <w:sz w:val="16"/>
            <w:szCs w:val="16"/>
          </w:rPr>
          <w:t>-301-</w:t>
        </w:r>
        <w:r w:rsidR="003351BE" w:rsidRPr="00CF418E">
          <w:rPr>
            <w:rStyle w:val="Hyperlink"/>
            <w:sz w:val="16"/>
            <w:szCs w:val="16"/>
            <w:lang w:val="en-US"/>
          </w:rPr>
          <w:t>investigations</w:t>
        </w:r>
      </w:hyperlink>
      <w:r w:rsidR="003351BE" w:rsidRPr="003351BE">
        <w:rPr>
          <w:sz w:val="16"/>
          <w:szCs w:val="16"/>
        </w:rPr>
        <w:t xml:space="preserve"> </w:t>
      </w:r>
    </w:p>
    <w:p w14:paraId="269A78AB" w14:textId="24C8D20F" w:rsidR="003351BE" w:rsidRPr="003351BE" w:rsidRDefault="003351BE" w:rsidP="003351BE">
      <w:pPr>
        <w:spacing w:after="0"/>
        <w:ind w:left="360"/>
        <w:jc w:val="both"/>
      </w:pPr>
      <w:r w:rsidRPr="003351BE">
        <w:t>H προδημοσίευση στην Επίσημη Εφημερίδα της κυβέρνησης (Federal Registry) της πλήρους απόφασης του USTR</w:t>
      </w:r>
      <w:r w:rsidRPr="003351BE">
        <w:rPr>
          <w:sz w:val="16"/>
          <w:szCs w:val="16"/>
        </w:rPr>
        <w:t xml:space="preserve"> </w:t>
      </w:r>
      <w:r w:rsidRPr="003351BE">
        <w:t>για την Έρευνα 301 FL είναι διαθέσιμη στην διεύθυνση:</w:t>
      </w:r>
    </w:p>
    <w:p w14:paraId="472F45C4" w14:textId="2C84AFED" w:rsidR="003351BE" w:rsidRPr="003351BE" w:rsidRDefault="00EE0FFB" w:rsidP="003351BE">
      <w:pPr>
        <w:spacing w:after="120"/>
        <w:ind w:left="360"/>
        <w:jc w:val="both"/>
        <w:rPr>
          <w:rStyle w:val="Hyperlink"/>
          <w:lang w:val="en-US"/>
        </w:rPr>
      </w:pPr>
      <w:hyperlink r:id="rId11" w:history="1">
        <w:r w:rsidR="003351BE" w:rsidRPr="003351BE">
          <w:rPr>
            <w:rStyle w:val="Hyperlink"/>
            <w:sz w:val="16"/>
            <w:szCs w:val="16"/>
            <w:lang w:val="en-US"/>
          </w:rPr>
          <w:t>FLIP 301 Investigation Final Action FRN 7-23-26 FINAL.pdf</w:t>
        </w:r>
      </w:hyperlink>
    </w:p>
    <w:bookmarkEnd w:id="0"/>
    <w:p w14:paraId="232FBDF5" w14:textId="77777777" w:rsidR="00D23A4F" w:rsidRDefault="00D23A4F" w:rsidP="00D23A4F">
      <w:pPr>
        <w:tabs>
          <w:tab w:val="center" w:pos="5400"/>
        </w:tabs>
        <w:spacing w:after="0"/>
        <w:rPr>
          <w:rFonts w:cs="Arial"/>
          <w:szCs w:val="20"/>
        </w:rPr>
      </w:pPr>
    </w:p>
    <w:p w14:paraId="62F0E1DC" w14:textId="254D57D8" w:rsidR="00E7100B" w:rsidRPr="005930B4" w:rsidRDefault="00D23A4F" w:rsidP="00D23A4F">
      <w:pPr>
        <w:tabs>
          <w:tab w:val="center" w:pos="5400"/>
        </w:tabs>
        <w:spacing w:after="0"/>
        <w:rPr>
          <w:rFonts w:cs="Arial"/>
          <w:sz w:val="18"/>
          <w:szCs w:val="18"/>
          <w:lang w:val="en-US"/>
        </w:rPr>
      </w:pPr>
      <w:r w:rsidRPr="00D23A4F">
        <w:rPr>
          <w:rFonts w:cs="Arial"/>
          <w:sz w:val="18"/>
          <w:szCs w:val="18"/>
        </w:rPr>
        <w:t xml:space="preserve">Συντάκτης: </w:t>
      </w:r>
      <w:r w:rsidR="00CB1C66" w:rsidRPr="00D23A4F">
        <w:rPr>
          <w:rFonts w:cs="Arial"/>
          <w:sz w:val="18"/>
          <w:szCs w:val="18"/>
        </w:rPr>
        <w:t>Διονύσης Πρωτοπαπάς</w:t>
      </w:r>
      <w:r w:rsidRPr="00D23A4F">
        <w:rPr>
          <w:rFonts w:cs="Arial"/>
          <w:sz w:val="18"/>
          <w:szCs w:val="18"/>
        </w:rPr>
        <w:t xml:space="preserve">, </w:t>
      </w:r>
      <w:r w:rsidR="00CB1C66" w:rsidRPr="00D23A4F">
        <w:rPr>
          <w:rFonts w:cs="Arial"/>
          <w:sz w:val="18"/>
          <w:szCs w:val="18"/>
        </w:rPr>
        <w:t>Γενικός Σύμβουλος ΟΕΥ Β΄</w:t>
      </w:r>
    </w:p>
    <w:sectPr w:rsidR="00E7100B" w:rsidRPr="005930B4" w:rsidSect="00447E56">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22412" w14:textId="77777777" w:rsidR="00EE0FFB" w:rsidRDefault="00EE0FFB" w:rsidP="00ED0F59">
      <w:r>
        <w:separator/>
      </w:r>
    </w:p>
  </w:endnote>
  <w:endnote w:type="continuationSeparator" w:id="0">
    <w:p w14:paraId="2B8D5BF3" w14:textId="77777777" w:rsidR="00EE0FFB" w:rsidRDefault="00EE0FFB"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9999E" w14:textId="77777777" w:rsidR="00EE0FFB" w:rsidRDefault="00EE0FFB" w:rsidP="00ED0F59">
      <w:r>
        <w:separator/>
      </w:r>
    </w:p>
  </w:footnote>
  <w:footnote w:type="continuationSeparator" w:id="0">
    <w:p w14:paraId="5CADD411" w14:textId="77777777" w:rsidR="00EE0FFB" w:rsidRDefault="00EE0FFB" w:rsidP="00ED0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2E24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2D641B"/>
    <w:multiLevelType w:val="hybridMultilevel"/>
    <w:tmpl w:val="8424F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14061F"/>
    <w:multiLevelType w:val="hybridMultilevel"/>
    <w:tmpl w:val="13389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6649C8"/>
    <w:multiLevelType w:val="hybridMultilevel"/>
    <w:tmpl w:val="0A220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DC3167"/>
    <w:multiLevelType w:val="multilevel"/>
    <w:tmpl w:val="EF64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432BD9"/>
    <w:multiLevelType w:val="multilevel"/>
    <w:tmpl w:val="A22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F3AD3"/>
    <w:multiLevelType w:val="hybridMultilevel"/>
    <w:tmpl w:val="C902D3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D535FF"/>
    <w:multiLevelType w:val="hybridMultilevel"/>
    <w:tmpl w:val="5A0E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62EB0"/>
    <w:multiLevelType w:val="hybridMultilevel"/>
    <w:tmpl w:val="B6AE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0327D"/>
    <w:multiLevelType w:val="hybridMultilevel"/>
    <w:tmpl w:val="99F6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61249"/>
    <w:multiLevelType w:val="hybridMultilevel"/>
    <w:tmpl w:val="126E8B70"/>
    <w:lvl w:ilvl="0" w:tplc="615EB15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791A95"/>
    <w:multiLevelType w:val="hybridMultilevel"/>
    <w:tmpl w:val="E272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A73E4"/>
    <w:multiLevelType w:val="hybridMultilevel"/>
    <w:tmpl w:val="D80A9D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5E27C6"/>
    <w:multiLevelType w:val="hybridMultilevel"/>
    <w:tmpl w:val="2E084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961750"/>
    <w:multiLevelType w:val="hybridMultilevel"/>
    <w:tmpl w:val="D9EA7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447498"/>
    <w:multiLevelType w:val="hybridMultilevel"/>
    <w:tmpl w:val="839A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983F63"/>
    <w:multiLevelType w:val="hybridMultilevel"/>
    <w:tmpl w:val="87A43F16"/>
    <w:lvl w:ilvl="0" w:tplc="B51EE99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5E0C51"/>
    <w:multiLevelType w:val="multilevel"/>
    <w:tmpl w:val="4DBC9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2E4E10"/>
    <w:multiLevelType w:val="hybridMultilevel"/>
    <w:tmpl w:val="9A56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223DE"/>
    <w:multiLevelType w:val="hybridMultilevel"/>
    <w:tmpl w:val="496C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00EAB"/>
    <w:multiLevelType w:val="hybridMultilevel"/>
    <w:tmpl w:val="B8DED3E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12179"/>
    <w:multiLevelType w:val="hybridMultilevel"/>
    <w:tmpl w:val="A0D4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1"/>
  </w:num>
  <w:num w:numId="5">
    <w:abstractNumId w:val="0"/>
  </w:num>
  <w:num w:numId="6">
    <w:abstractNumId w:val="3"/>
  </w:num>
  <w:num w:numId="7">
    <w:abstractNumId w:val="2"/>
  </w:num>
  <w:num w:numId="8">
    <w:abstractNumId w:val="13"/>
  </w:num>
  <w:num w:numId="9">
    <w:abstractNumId w:val="14"/>
  </w:num>
  <w:num w:numId="10">
    <w:abstractNumId w:val="4"/>
  </w:num>
  <w:num w:numId="11">
    <w:abstractNumId w:val="6"/>
  </w:num>
  <w:num w:numId="12">
    <w:abstractNumId w:val="12"/>
  </w:num>
  <w:num w:numId="13">
    <w:abstractNumId w:val="11"/>
  </w:num>
  <w:num w:numId="14">
    <w:abstractNumId w:val="21"/>
  </w:num>
  <w:num w:numId="15">
    <w:abstractNumId w:val="10"/>
  </w:num>
  <w:num w:numId="16">
    <w:abstractNumId w:val="5"/>
  </w:num>
  <w:num w:numId="17">
    <w:abstractNumId w:val="17"/>
  </w:num>
  <w:num w:numId="18">
    <w:abstractNumId w:val="9"/>
  </w:num>
  <w:num w:numId="19">
    <w:abstractNumId w:val="20"/>
  </w:num>
  <w:num w:numId="20">
    <w:abstractNumId w:val="15"/>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96"/>
    <w:rsid w:val="0000572C"/>
    <w:rsid w:val="00005A80"/>
    <w:rsid w:val="0000620B"/>
    <w:rsid w:val="00013B09"/>
    <w:rsid w:val="00014B2B"/>
    <w:rsid w:val="0001674E"/>
    <w:rsid w:val="000170B3"/>
    <w:rsid w:val="0002001E"/>
    <w:rsid w:val="0003041E"/>
    <w:rsid w:val="000306DD"/>
    <w:rsid w:val="00031C13"/>
    <w:rsid w:val="000401B9"/>
    <w:rsid w:val="00044782"/>
    <w:rsid w:val="000459DF"/>
    <w:rsid w:val="0004668D"/>
    <w:rsid w:val="00050655"/>
    <w:rsid w:val="0005500E"/>
    <w:rsid w:val="00055836"/>
    <w:rsid w:val="0006685D"/>
    <w:rsid w:val="000668B8"/>
    <w:rsid w:val="00066926"/>
    <w:rsid w:val="000754F1"/>
    <w:rsid w:val="0007753B"/>
    <w:rsid w:val="00080AB2"/>
    <w:rsid w:val="0008347D"/>
    <w:rsid w:val="00085AA1"/>
    <w:rsid w:val="00086B96"/>
    <w:rsid w:val="00092E19"/>
    <w:rsid w:val="000A5679"/>
    <w:rsid w:val="000B0290"/>
    <w:rsid w:val="000B07F1"/>
    <w:rsid w:val="000C040F"/>
    <w:rsid w:val="000C0746"/>
    <w:rsid w:val="000C3C69"/>
    <w:rsid w:val="000C3CC2"/>
    <w:rsid w:val="000C58D2"/>
    <w:rsid w:val="000C7C8A"/>
    <w:rsid w:val="000C7E54"/>
    <w:rsid w:val="000D1F85"/>
    <w:rsid w:val="000D2EC0"/>
    <w:rsid w:val="000D37AD"/>
    <w:rsid w:val="000D5BF1"/>
    <w:rsid w:val="000D6EEC"/>
    <w:rsid w:val="000E34D8"/>
    <w:rsid w:val="000E3BA9"/>
    <w:rsid w:val="000E76F2"/>
    <w:rsid w:val="000E78ED"/>
    <w:rsid w:val="000E7F4F"/>
    <w:rsid w:val="000F0D92"/>
    <w:rsid w:val="000F4EB8"/>
    <w:rsid w:val="000F5549"/>
    <w:rsid w:val="00104CB6"/>
    <w:rsid w:val="0010500C"/>
    <w:rsid w:val="00106EDF"/>
    <w:rsid w:val="001165AC"/>
    <w:rsid w:val="00120B26"/>
    <w:rsid w:val="00120F41"/>
    <w:rsid w:val="00123E15"/>
    <w:rsid w:val="00124A68"/>
    <w:rsid w:val="00124F43"/>
    <w:rsid w:val="00127461"/>
    <w:rsid w:val="00133ECA"/>
    <w:rsid w:val="00137237"/>
    <w:rsid w:val="00141CE8"/>
    <w:rsid w:val="001423D0"/>
    <w:rsid w:val="001436CF"/>
    <w:rsid w:val="00143D11"/>
    <w:rsid w:val="001446D8"/>
    <w:rsid w:val="00145591"/>
    <w:rsid w:val="00151D6F"/>
    <w:rsid w:val="001567FE"/>
    <w:rsid w:val="0015688A"/>
    <w:rsid w:val="00157430"/>
    <w:rsid w:val="00160B57"/>
    <w:rsid w:val="00163D7C"/>
    <w:rsid w:val="00165998"/>
    <w:rsid w:val="00176189"/>
    <w:rsid w:val="001763A5"/>
    <w:rsid w:val="0018376B"/>
    <w:rsid w:val="00184879"/>
    <w:rsid w:val="00187EF2"/>
    <w:rsid w:val="0019021E"/>
    <w:rsid w:val="0019185E"/>
    <w:rsid w:val="00193471"/>
    <w:rsid w:val="00193F20"/>
    <w:rsid w:val="00195F7C"/>
    <w:rsid w:val="0019605C"/>
    <w:rsid w:val="001B0CD6"/>
    <w:rsid w:val="001B1F74"/>
    <w:rsid w:val="001B37F2"/>
    <w:rsid w:val="001B3AD3"/>
    <w:rsid w:val="001B7689"/>
    <w:rsid w:val="001B7F31"/>
    <w:rsid w:val="001C1D0F"/>
    <w:rsid w:val="001C5E4F"/>
    <w:rsid w:val="001C7086"/>
    <w:rsid w:val="001C7C2F"/>
    <w:rsid w:val="001D56DA"/>
    <w:rsid w:val="001D577B"/>
    <w:rsid w:val="001D6639"/>
    <w:rsid w:val="001D6FD0"/>
    <w:rsid w:val="001E2D2D"/>
    <w:rsid w:val="001E30D3"/>
    <w:rsid w:val="001E5B93"/>
    <w:rsid w:val="001E72D2"/>
    <w:rsid w:val="001E750D"/>
    <w:rsid w:val="001E7984"/>
    <w:rsid w:val="001F02F9"/>
    <w:rsid w:val="001F3212"/>
    <w:rsid w:val="001F7E23"/>
    <w:rsid w:val="001F7E52"/>
    <w:rsid w:val="002076DF"/>
    <w:rsid w:val="00213C61"/>
    <w:rsid w:val="00223260"/>
    <w:rsid w:val="0022399D"/>
    <w:rsid w:val="00226DC3"/>
    <w:rsid w:val="0022790A"/>
    <w:rsid w:val="0023260B"/>
    <w:rsid w:val="002366BB"/>
    <w:rsid w:val="00236858"/>
    <w:rsid w:val="0024111A"/>
    <w:rsid w:val="002428D9"/>
    <w:rsid w:val="00242D48"/>
    <w:rsid w:val="00242F64"/>
    <w:rsid w:val="0024649B"/>
    <w:rsid w:val="0025390A"/>
    <w:rsid w:val="002653CD"/>
    <w:rsid w:val="00267B43"/>
    <w:rsid w:val="00274043"/>
    <w:rsid w:val="002766E6"/>
    <w:rsid w:val="0028230E"/>
    <w:rsid w:val="0028624E"/>
    <w:rsid w:val="00287445"/>
    <w:rsid w:val="00291541"/>
    <w:rsid w:val="002935CD"/>
    <w:rsid w:val="00294E5A"/>
    <w:rsid w:val="0029506B"/>
    <w:rsid w:val="002953C9"/>
    <w:rsid w:val="002A105C"/>
    <w:rsid w:val="002B1D65"/>
    <w:rsid w:val="002B1FBB"/>
    <w:rsid w:val="002B620E"/>
    <w:rsid w:val="002B62C7"/>
    <w:rsid w:val="002B6667"/>
    <w:rsid w:val="002B6770"/>
    <w:rsid w:val="002C28AB"/>
    <w:rsid w:val="002C43D2"/>
    <w:rsid w:val="002C4A39"/>
    <w:rsid w:val="002D0F64"/>
    <w:rsid w:val="002D57A6"/>
    <w:rsid w:val="002E7E8D"/>
    <w:rsid w:val="002F2E72"/>
    <w:rsid w:val="002F370C"/>
    <w:rsid w:val="002F54CD"/>
    <w:rsid w:val="002F78C3"/>
    <w:rsid w:val="0030242B"/>
    <w:rsid w:val="003030BD"/>
    <w:rsid w:val="00303B51"/>
    <w:rsid w:val="00304067"/>
    <w:rsid w:val="00304B38"/>
    <w:rsid w:val="003071A6"/>
    <w:rsid w:val="003119D0"/>
    <w:rsid w:val="00313960"/>
    <w:rsid w:val="0031656C"/>
    <w:rsid w:val="00316A6E"/>
    <w:rsid w:val="0031737E"/>
    <w:rsid w:val="003217ED"/>
    <w:rsid w:val="00321DD9"/>
    <w:rsid w:val="00323C1D"/>
    <w:rsid w:val="00326716"/>
    <w:rsid w:val="0032703A"/>
    <w:rsid w:val="00330D19"/>
    <w:rsid w:val="00330EF6"/>
    <w:rsid w:val="00334A56"/>
    <w:rsid w:val="003351BE"/>
    <w:rsid w:val="00335F13"/>
    <w:rsid w:val="00336225"/>
    <w:rsid w:val="003428A1"/>
    <w:rsid w:val="0034571D"/>
    <w:rsid w:val="00345A86"/>
    <w:rsid w:val="00346E6A"/>
    <w:rsid w:val="003507B0"/>
    <w:rsid w:val="003516C2"/>
    <w:rsid w:val="00355EF6"/>
    <w:rsid w:val="0035794B"/>
    <w:rsid w:val="00360631"/>
    <w:rsid w:val="00360EEC"/>
    <w:rsid w:val="00371062"/>
    <w:rsid w:val="003771ED"/>
    <w:rsid w:val="0038500A"/>
    <w:rsid w:val="0038521C"/>
    <w:rsid w:val="00391735"/>
    <w:rsid w:val="00393E79"/>
    <w:rsid w:val="00396692"/>
    <w:rsid w:val="003A0736"/>
    <w:rsid w:val="003A5D77"/>
    <w:rsid w:val="003A7F99"/>
    <w:rsid w:val="003B086E"/>
    <w:rsid w:val="003B09B9"/>
    <w:rsid w:val="003B1963"/>
    <w:rsid w:val="003C5FDE"/>
    <w:rsid w:val="003C70F4"/>
    <w:rsid w:val="003C7CDE"/>
    <w:rsid w:val="003D0533"/>
    <w:rsid w:val="003D07B8"/>
    <w:rsid w:val="003D18E4"/>
    <w:rsid w:val="003D2AAE"/>
    <w:rsid w:val="003D43D1"/>
    <w:rsid w:val="003D5DFA"/>
    <w:rsid w:val="003E0C0B"/>
    <w:rsid w:val="003E0ED8"/>
    <w:rsid w:val="003E5D71"/>
    <w:rsid w:val="003E7658"/>
    <w:rsid w:val="003F172E"/>
    <w:rsid w:val="003F2EB7"/>
    <w:rsid w:val="003F3914"/>
    <w:rsid w:val="003F5AEF"/>
    <w:rsid w:val="003F5B53"/>
    <w:rsid w:val="003F605F"/>
    <w:rsid w:val="00401B5D"/>
    <w:rsid w:val="004034F7"/>
    <w:rsid w:val="004039BD"/>
    <w:rsid w:val="00406C23"/>
    <w:rsid w:val="00415F11"/>
    <w:rsid w:val="00420725"/>
    <w:rsid w:val="00420CBA"/>
    <w:rsid w:val="00421473"/>
    <w:rsid w:val="0042296B"/>
    <w:rsid w:val="004258AB"/>
    <w:rsid w:val="00431134"/>
    <w:rsid w:val="0043229F"/>
    <w:rsid w:val="00434802"/>
    <w:rsid w:val="004360C2"/>
    <w:rsid w:val="00436A52"/>
    <w:rsid w:val="004452F9"/>
    <w:rsid w:val="00447E56"/>
    <w:rsid w:val="00452555"/>
    <w:rsid w:val="00455930"/>
    <w:rsid w:val="004575BA"/>
    <w:rsid w:val="00457826"/>
    <w:rsid w:val="00460B03"/>
    <w:rsid w:val="0046101E"/>
    <w:rsid w:val="004651FA"/>
    <w:rsid w:val="00472B82"/>
    <w:rsid w:val="00473564"/>
    <w:rsid w:val="00473856"/>
    <w:rsid w:val="004747E8"/>
    <w:rsid w:val="004760EE"/>
    <w:rsid w:val="00476589"/>
    <w:rsid w:val="004832E8"/>
    <w:rsid w:val="00483F46"/>
    <w:rsid w:val="00484BBC"/>
    <w:rsid w:val="00485E0D"/>
    <w:rsid w:val="004861E1"/>
    <w:rsid w:val="00486563"/>
    <w:rsid w:val="004928DA"/>
    <w:rsid w:val="00493312"/>
    <w:rsid w:val="004A41CC"/>
    <w:rsid w:val="004B1A44"/>
    <w:rsid w:val="004B44C3"/>
    <w:rsid w:val="004B62F6"/>
    <w:rsid w:val="004C06E7"/>
    <w:rsid w:val="004C4DC9"/>
    <w:rsid w:val="004C4E3D"/>
    <w:rsid w:val="004C7A74"/>
    <w:rsid w:val="004C7B75"/>
    <w:rsid w:val="004D27CF"/>
    <w:rsid w:val="004D46B2"/>
    <w:rsid w:val="004D60EC"/>
    <w:rsid w:val="004D7AE5"/>
    <w:rsid w:val="004E4AAD"/>
    <w:rsid w:val="004F5107"/>
    <w:rsid w:val="004F72CA"/>
    <w:rsid w:val="00500E16"/>
    <w:rsid w:val="00501183"/>
    <w:rsid w:val="00503B3E"/>
    <w:rsid w:val="00510381"/>
    <w:rsid w:val="00512E83"/>
    <w:rsid w:val="00517DE1"/>
    <w:rsid w:val="00523013"/>
    <w:rsid w:val="005240FE"/>
    <w:rsid w:val="00524D35"/>
    <w:rsid w:val="0052545E"/>
    <w:rsid w:val="00525E0C"/>
    <w:rsid w:val="00526360"/>
    <w:rsid w:val="00527067"/>
    <w:rsid w:val="00530543"/>
    <w:rsid w:val="00530C7F"/>
    <w:rsid w:val="0053200C"/>
    <w:rsid w:val="0053584B"/>
    <w:rsid w:val="00536338"/>
    <w:rsid w:val="0054162E"/>
    <w:rsid w:val="00542014"/>
    <w:rsid w:val="00542234"/>
    <w:rsid w:val="0054275A"/>
    <w:rsid w:val="005446FD"/>
    <w:rsid w:val="005500C6"/>
    <w:rsid w:val="00550EE2"/>
    <w:rsid w:val="00553B70"/>
    <w:rsid w:val="00556686"/>
    <w:rsid w:val="005568EB"/>
    <w:rsid w:val="00561268"/>
    <w:rsid w:val="00562706"/>
    <w:rsid w:val="00562B09"/>
    <w:rsid w:val="00570D7C"/>
    <w:rsid w:val="005725CB"/>
    <w:rsid w:val="00572768"/>
    <w:rsid w:val="0057313E"/>
    <w:rsid w:val="00573508"/>
    <w:rsid w:val="0057723F"/>
    <w:rsid w:val="005776AD"/>
    <w:rsid w:val="00581695"/>
    <w:rsid w:val="0058198B"/>
    <w:rsid w:val="005848B3"/>
    <w:rsid w:val="00585C4D"/>
    <w:rsid w:val="00590BC0"/>
    <w:rsid w:val="00592AEE"/>
    <w:rsid w:val="00592C69"/>
    <w:rsid w:val="005930B4"/>
    <w:rsid w:val="00594F48"/>
    <w:rsid w:val="00595CDE"/>
    <w:rsid w:val="00596AA7"/>
    <w:rsid w:val="005A0593"/>
    <w:rsid w:val="005A2ED2"/>
    <w:rsid w:val="005B1925"/>
    <w:rsid w:val="005B1AD0"/>
    <w:rsid w:val="005B257B"/>
    <w:rsid w:val="005B2D19"/>
    <w:rsid w:val="005B3762"/>
    <w:rsid w:val="005C0B73"/>
    <w:rsid w:val="005C0E39"/>
    <w:rsid w:val="005C1266"/>
    <w:rsid w:val="005C19D5"/>
    <w:rsid w:val="005C2EC4"/>
    <w:rsid w:val="005C4E54"/>
    <w:rsid w:val="005C4F39"/>
    <w:rsid w:val="005C5AB9"/>
    <w:rsid w:val="005C618C"/>
    <w:rsid w:val="005D0731"/>
    <w:rsid w:val="005D1ACD"/>
    <w:rsid w:val="005D3886"/>
    <w:rsid w:val="005D472C"/>
    <w:rsid w:val="005E74C0"/>
    <w:rsid w:val="005F36D0"/>
    <w:rsid w:val="005F61DB"/>
    <w:rsid w:val="00613C0F"/>
    <w:rsid w:val="006143CE"/>
    <w:rsid w:val="00614D9C"/>
    <w:rsid w:val="00622DBA"/>
    <w:rsid w:val="00623293"/>
    <w:rsid w:val="006273B9"/>
    <w:rsid w:val="00630DBF"/>
    <w:rsid w:val="006319F3"/>
    <w:rsid w:val="00632545"/>
    <w:rsid w:val="00632C7E"/>
    <w:rsid w:val="00633E7E"/>
    <w:rsid w:val="00634F22"/>
    <w:rsid w:val="00643BE9"/>
    <w:rsid w:val="00646AA6"/>
    <w:rsid w:val="006473A2"/>
    <w:rsid w:val="0065076B"/>
    <w:rsid w:val="00650C11"/>
    <w:rsid w:val="006516F4"/>
    <w:rsid w:val="00654F96"/>
    <w:rsid w:val="00657705"/>
    <w:rsid w:val="0066005F"/>
    <w:rsid w:val="00662B2C"/>
    <w:rsid w:val="00670F9D"/>
    <w:rsid w:val="0067460E"/>
    <w:rsid w:val="00674B85"/>
    <w:rsid w:val="00681C9C"/>
    <w:rsid w:val="00681E8A"/>
    <w:rsid w:val="006833AB"/>
    <w:rsid w:val="00683C78"/>
    <w:rsid w:val="00690B96"/>
    <w:rsid w:val="006921D5"/>
    <w:rsid w:val="00693627"/>
    <w:rsid w:val="0069420D"/>
    <w:rsid w:val="006956E9"/>
    <w:rsid w:val="00695B1A"/>
    <w:rsid w:val="0069643C"/>
    <w:rsid w:val="006A5736"/>
    <w:rsid w:val="006A66C9"/>
    <w:rsid w:val="006B1830"/>
    <w:rsid w:val="006B295C"/>
    <w:rsid w:val="006B44D0"/>
    <w:rsid w:val="006B5EBE"/>
    <w:rsid w:val="006C13AF"/>
    <w:rsid w:val="006C3964"/>
    <w:rsid w:val="006C4739"/>
    <w:rsid w:val="006C4750"/>
    <w:rsid w:val="006D089A"/>
    <w:rsid w:val="006D2FF2"/>
    <w:rsid w:val="006D6F58"/>
    <w:rsid w:val="006D7D75"/>
    <w:rsid w:val="006E2A6E"/>
    <w:rsid w:val="006E79E2"/>
    <w:rsid w:val="006F28FB"/>
    <w:rsid w:val="006F7778"/>
    <w:rsid w:val="00703E84"/>
    <w:rsid w:val="0070655B"/>
    <w:rsid w:val="0071199C"/>
    <w:rsid w:val="00714D4F"/>
    <w:rsid w:val="00721EB0"/>
    <w:rsid w:val="00722CC1"/>
    <w:rsid w:val="00724AEB"/>
    <w:rsid w:val="007301B4"/>
    <w:rsid w:val="007320BC"/>
    <w:rsid w:val="0073641C"/>
    <w:rsid w:val="00736E92"/>
    <w:rsid w:val="00746B77"/>
    <w:rsid w:val="00751400"/>
    <w:rsid w:val="00751E97"/>
    <w:rsid w:val="007522F5"/>
    <w:rsid w:val="00753DE0"/>
    <w:rsid w:val="00757A3A"/>
    <w:rsid w:val="007612D1"/>
    <w:rsid w:val="00762A36"/>
    <w:rsid w:val="00772497"/>
    <w:rsid w:val="0077257E"/>
    <w:rsid w:val="00773C76"/>
    <w:rsid w:val="00774553"/>
    <w:rsid w:val="007766D7"/>
    <w:rsid w:val="00781C8A"/>
    <w:rsid w:val="00784326"/>
    <w:rsid w:val="0078614F"/>
    <w:rsid w:val="00786E6A"/>
    <w:rsid w:val="0078711A"/>
    <w:rsid w:val="00791F4C"/>
    <w:rsid w:val="0079301B"/>
    <w:rsid w:val="00793DA4"/>
    <w:rsid w:val="0079435D"/>
    <w:rsid w:val="007A0B4F"/>
    <w:rsid w:val="007A2063"/>
    <w:rsid w:val="007A599B"/>
    <w:rsid w:val="007B29A1"/>
    <w:rsid w:val="007C48B5"/>
    <w:rsid w:val="007C7465"/>
    <w:rsid w:val="007D1E00"/>
    <w:rsid w:val="007D264D"/>
    <w:rsid w:val="007D4914"/>
    <w:rsid w:val="007D5F43"/>
    <w:rsid w:val="007E0D4A"/>
    <w:rsid w:val="007E3219"/>
    <w:rsid w:val="007E38F7"/>
    <w:rsid w:val="007E5DDF"/>
    <w:rsid w:val="007E7D78"/>
    <w:rsid w:val="007F0E3A"/>
    <w:rsid w:val="007F2064"/>
    <w:rsid w:val="007F2446"/>
    <w:rsid w:val="007F3DCF"/>
    <w:rsid w:val="007F5416"/>
    <w:rsid w:val="007F6269"/>
    <w:rsid w:val="008003DD"/>
    <w:rsid w:val="008008DA"/>
    <w:rsid w:val="0080134F"/>
    <w:rsid w:val="00815C91"/>
    <w:rsid w:val="0081786A"/>
    <w:rsid w:val="00822EB4"/>
    <w:rsid w:val="008233F4"/>
    <w:rsid w:val="00826A2C"/>
    <w:rsid w:val="00827631"/>
    <w:rsid w:val="00832D24"/>
    <w:rsid w:val="008343C3"/>
    <w:rsid w:val="008402BB"/>
    <w:rsid w:val="00841684"/>
    <w:rsid w:val="00842C8F"/>
    <w:rsid w:val="00843725"/>
    <w:rsid w:val="00843C80"/>
    <w:rsid w:val="00844758"/>
    <w:rsid w:val="0085151E"/>
    <w:rsid w:val="00855182"/>
    <w:rsid w:val="00856DDA"/>
    <w:rsid w:val="00861469"/>
    <w:rsid w:val="00862ED5"/>
    <w:rsid w:val="0086589A"/>
    <w:rsid w:val="00866B1A"/>
    <w:rsid w:val="00866B23"/>
    <w:rsid w:val="00871234"/>
    <w:rsid w:val="00873760"/>
    <w:rsid w:val="008750BB"/>
    <w:rsid w:val="00877113"/>
    <w:rsid w:val="008832A2"/>
    <w:rsid w:val="00884AFD"/>
    <w:rsid w:val="008853A7"/>
    <w:rsid w:val="00886F00"/>
    <w:rsid w:val="008873B7"/>
    <w:rsid w:val="00887471"/>
    <w:rsid w:val="00890428"/>
    <w:rsid w:val="008912FD"/>
    <w:rsid w:val="008B00D1"/>
    <w:rsid w:val="008B3955"/>
    <w:rsid w:val="008B3C62"/>
    <w:rsid w:val="008B4613"/>
    <w:rsid w:val="008B4D04"/>
    <w:rsid w:val="008B520F"/>
    <w:rsid w:val="008B6EA2"/>
    <w:rsid w:val="008C11FB"/>
    <w:rsid w:val="008C21B9"/>
    <w:rsid w:val="008C472E"/>
    <w:rsid w:val="008D3B83"/>
    <w:rsid w:val="008D49B0"/>
    <w:rsid w:val="008D75FE"/>
    <w:rsid w:val="008E58C3"/>
    <w:rsid w:val="008E633D"/>
    <w:rsid w:val="008E64F5"/>
    <w:rsid w:val="008E6A5A"/>
    <w:rsid w:val="008E79F9"/>
    <w:rsid w:val="00900BED"/>
    <w:rsid w:val="00901D00"/>
    <w:rsid w:val="009050EC"/>
    <w:rsid w:val="00912D70"/>
    <w:rsid w:val="00914964"/>
    <w:rsid w:val="00914F19"/>
    <w:rsid w:val="009154B4"/>
    <w:rsid w:val="00915CBB"/>
    <w:rsid w:val="0091698B"/>
    <w:rsid w:val="00920DE4"/>
    <w:rsid w:val="00922C90"/>
    <w:rsid w:val="00923F39"/>
    <w:rsid w:val="0093072D"/>
    <w:rsid w:val="009355D4"/>
    <w:rsid w:val="009375AA"/>
    <w:rsid w:val="0093792A"/>
    <w:rsid w:val="009421EB"/>
    <w:rsid w:val="00943FBD"/>
    <w:rsid w:val="00944297"/>
    <w:rsid w:val="00946531"/>
    <w:rsid w:val="00946D57"/>
    <w:rsid w:val="00947C4B"/>
    <w:rsid w:val="0095151E"/>
    <w:rsid w:val="009515C1"/>
    <w:rsid w:val="00952FBA"/>
    <w:rsid w:val="00954019"/>
    <w:rsid w:val="00957D82"/>
    <w:rsid w:val="00960660"/>
    <w:rsid w:val="00964A99"/>
    <w:rsid w:val="00965B1A"/>
    <w:rsid w:val="00971B99"/>
    <w:rsid w:val="00973E54"/>
    <w:rsid w:val="009764CA"/>
    <w:rsid w:val="00977813"/>
    <w:rsid w:val="00982C48"/>
    <w:rsid w:val="00983BDA"/>
    <w:rsid w:val="00985921"/>
    <w:rsid w:val="00985F9B"/>
    <w:rsid w:val="00990FC1"/>
    <w:rsid w:val="00993FE7"/>
    <w:rsid w:val="009A02B2"/>
    <w:rsid w:val="009A3FA9"/>
    <w:rsid w:val="009A4450"/>
    <w:rsid w:val="009A5DB8"/>
    <w:rsid w:val="009B18C2"/>
    <w:rsid w:val="009B68B7"/>
    <w:rsid w:val="009B733C"/>
    <w:rsid w:val="009C7B54"/>
    <w:rsid w:val="009C7EA5"/>
    <w:rsid w:val="009D30D2"/>
    <w:rsid w:val="009D4866"/>
    <w:rsid w:val="009D4DE8"/>
    <w:rsid w:val="009D73B9"/>
    <w:rsid w:val="009E446D"/>
    <w:rsid w:val="009F13C7"/>
    <w:rsid w:val="009F2AD6"/>
    <w:rsid w:val="009F39E0"/>
    <w:rsid w:val="009F4DAC"/>
    <w:rsid w:val="009F5BF4"/>
    <w:rsid w:val="00A009FC"/>
    <w:rsid w:val="00A045A2"/>
    <w:rsid w:val="00A10E4C"/>
    <w:rsid w:val="00A15504"/>
    <w:rsid w:val="00A16F54"/>
    <w:rsid w:val="00A234B3"/>
    <w:rsid w:val="00A356BD"/>
    <w:rsid w:val="00A35B5B"/>
    <w:rsid w:val="00A36763"/>
    <w:rsid w:val="00A4501C"/>
    <w:rsid w:val="00A454C9"/>
    <w:rsid w:val="00A50E72"/>
    <w:rsid w:val="00A54144"/>
    <w:rsid w:val="00A5539D"/>
    <w:rsid w:val="00A5729F"/>
    <w:rsid w:val="00A61238"/>
    <w:rsid w:val="00A614E7"/>
    <w:rsid w:val="00A62590"/>
    <w:rsid w:val="00A62E50"/>
    <w:rsid w:val="00A65F38"/>
    <w:rsid w:val="00A676D7"/>
    <w:rsid w:val="00A71558"/>
    <w:rsid w:val="00A73466"/>
    <w:rsid w:val="00A73AC3"/>
    <w:rsid w:val="00A93127"/>
    <w:rsid w:val="00A95DCA"/>
    <w:rsid w:val="00A961AE"/>
    <w:rsid w:val="00A961F6"/>
    <w:rsid w:val="00AA30EC"/>
    <w:rsid w:val="00AA6D97"/>
    <w:rsid w:val="00AB1F79"/>
    <w:rsid w:val="00AB2C8C"/>
    <w:rsid w:val="00AC4B01"/>
    <w:rsid w:val="00AC56D5"/>
    <w:rsid w:val="00AC771D"/>
    <w:rsid w:val="00AD18BD"/>
    <w:rsid w:val="00AD386B"/>
    <w:rsid w:val="00AD3AA6"/>
    <w:rsid w:val="00AD6126"/>
    <w:rsid w:val="00AE2AC2"/>
    <w:rsid w:val="00AE2C42"/>
    <w:rsid w:val="00AE427B"/>
    <w:rsid w:val="00AE4893"/>
    <w:rsid w:val="00AE756B"/>
    <w:rsid w:val="00AF0144"/>
    <w:rsid w:val="00AF0268"/>
    <w:rsid w:val="00AF20E1"/>
    <w:rsid w:val="00AF376B"/>
    <w:rsid w:val="00AF47C7"/>
    <w:rsid w:val="00AF4963"/>
    <w:rsid w:val="00AF52A3"/>
    <w:rsid w:val="00AF5AA0"/>
    <w:rsid w:val="00B04E2A"/>
    <w:rsid w:val="00B06B5B"/>
    <w:rsid w:val="00B117CC"/>
    <w:rsid w:val="00B11AF4"/>
    <w:rsid w:val="00B11E9E"/>
    <w:rsid w:val="00B14514"/>
    <w:rsid w:val="00B23721"/>
    <w:rsid w:val="00B23CBA"/>
    <w:rsid w:val="00B244C5"/>
    <w:rsid w:val="00B246CF"/>
    <w:rsid w:val="00B27837"/>
    <w:rsid w:val="00B30A4D"/>
    <w:rsid w:val="00B30DC8"/>
    <w:rsid w:val="00B31FF4"/>
    <w:rsid w:val="00B37FAA"/>
    <w:rsid w:val="00B42700"/>
    <w:rsid w:val="00B4342D"/>
    <w:rsid w:val="00B438B4"/>
    <w:rsid w:val="00B43A1C"/>
    <w:rsid w:val="00B43BC6"/>
    <w:rsid w:val="00B44960"/>
    <w:rsid w:val="00B47F04"/>
    <w:rsid w:val="00B500DA"/>
    <w:rsid w:val="00B50F8F"/>
    <w:rsid w:val="00B52291"/>
    <w:rsid w:val="00B57147"/>
    <w:rsid w:val="00B62DD4"/>
    <w:rsid w:val="00B6467C"/>
    <w:rsid w:val="00B65244"/>
    <w:rsid w:val="00B66F3B"/>
    <w:rsid w:val="00B7166C"/>
    <w:rsid w:val="00B71812"/>
    <w:rsid w:val="00B73848"/>
    <w:rsid w:val="00B757E2"/>
    <w:rsid w:val="00B7590C"/>
    <w:rsid w:val="00B76773"/>
    <w:rsid w:val="00B768EC"/>
    <w:rsid w:val="00B770F7"/>
    <w:rsid w:val="00B9221C"/>
    <w:rsid w:val="00B92A35"/>
    <w:rsid w:val="00B93737"/>
    <w:rsid w:val="00B94ACA"/>
    <w:rsid w:val="00B953FD"/>
    <w:rsid w:val="00B97516"/>
    <w:rsid w:val="00BA2011"/>
    <w:rsid w:val="00BA7F72"/>
    <w:rsid w:val="00BB0D2C"/>
    <w:rsid w:val="00BB4B8C"/>
    <w:rsid w:val="00BB6A49"/>
    <w:rsid w:val="00BB7834"/>
    <w:rsid w:val="00BC26DA"/>
    <w:rsid w:val="00BC4FBB"/>
    <w:rsid w:val="00BD1DD5"/>
    <w:rsid w:val="00BD3F88"/>
    <w:rsid w:val="00BD65D7"/>
    <w:rsid w:val="00BD7EBC"/>
    <w:rsid w:val="00BE5610"/>
    <w:rsid w:val="00BE59DD"/>
    <w:rsid w:val="00BE6256"/>
    <w:rsid w:val="00BE7C13"/>
    <w:rsid w:val="00BF38C1"/>
    <w:rsid w:val="00BF4FD7"/>
    <w:rsid w:val="00BF5E93"/>
    <w:rsid w:val="00BF652A"/>
    <w:rsid w:val="00C0294C"/>
    <w:rsid w:val="00C03628"/>
    <w:rsid w:val="00C039B3"/>
    <w:rsid w:val="00C054E4"/>
    <w:rsid w:val="00C11E1F"/>
    <w:rsid w:val="00C14E2D"/>
    <w:rsid w:val="00C165BF"/>
    <w:rsid w:val="00C16DA8"/>
    <w:rsid w:val="00C20865"/>
    <w:rsid w:val="00C23585"/>
    <w:rsid w:val="00C256DD"/>
    <w:rsid w:val="00C25A68"/>
    <w:rsid w:val="00C30777"/>
    <w:rsid w:val="00C30976"/>
    <w:rsid w:val="00C329EE"/>
    <w:rsid w:val="00C34236"/>
    <w:rsid w:val="00C40288"/>
    <w:rsid w:val="00C427B1"/>
    <w:rsid w:val="00C44D21"/>
    <w:rsid w:val="00C47F69"/>
    <w:rsid w:val="00C515DE"/>
    <w:rsid w:val="00C51A65"/>
    <w:rsid w:val="00C51B27"/>
    <w:rsid w:val="00C54689"/>
    <w:rsid w:val="00C56838"/>
    <w:rsid w:val="00C56ECF"/>
    <w:rsid w:val="00C65D0C"/>
    <w:rsid w:val="00C665A7"/>
    <w:rsid w:val="00C674AA"/>
    <w:rsid w:val="00C67B38"/>
    <w:rsid w:val="00C75064"/>
    <w:rsid w:val="00C82D6A"/>
    <w:rsid w:val="00C83C8E"/>
    <w:rsid w:val="00C85592"/>
    <w:rsid w:val="00C87A86"/>
    <w:rsid w:val="00C91D29"/>
    <w:rsid w:val="00C947B5"/>
    <w:rsid w:val="00CA0876"/>
    <w:rsid w:val="00CA0F78"/>
    <w:rsid w:val="00CA1BAD"/>
    <w:rsid w:val="00CA45D3"/>
    <w:rsid w:val="00CA7FB4"/>
    <w:rsid w:val="00CB1466"/>
    <w:rsid w:val="00CB1C66"/>
    <w:rsid w:val="00CB22B9"/>
    <w:rsid w:val="00CB51BE"/>
    <w:rsid w:val="00CC2074"/>
    <w:rsid w:val="00CC47C7"/>
    <w:rsid w:val="00CC50E0"/>
    <w:rsid w:val="00CC7D56"/>
    <w:rsid w:val="00CD01E4"/>
    <w:rsid w:val="00CD3DAB"/>
    <w:rsid w:val="00CE04B7"/>
    <w:rsid w:val="00CE321F"/>
    <w:rsid w:val="00CE3AF2"/>
    <w:rsid w:val="00CE4FF3"/>
    <w:rsid w:val="00CF6087"/>
    <w:rsid w:val="00CF6BBC"/>
    <w:rsid w:val="00D01121"/>
    <w:rsid w:val="00D01B41"/>
    <w:rsid w:val="00D02296"/>
    <w:rsid w:val="00D02907"/>
    <w:rsid w:val="00D06CB8"/>
    <w:rsid w:val="00D116D8"/>
    <w:rsid w:val="00D11AFB"/>
    <w:rsid w:val="00D12006"/>
    <w:rsid w:val="00D1356C"/>
    <w:rsid w:val="00D14AF0"/>
    <w:rsid w:val="00D17A79"/>
    <w:rsid w:val="00D206CE"/>
    <w:rsid w:val="00D23386"/>
    <w:rsid w:val="00D23A4F"/>
    <w:rsid w:val="00D2464E"/>
    <w:rsid w:val="00D24D7B"/>
    <w:rsid w:val="00D24EBD"/>
    <w:rsid w:val="00D255AE"/>
    <w:rsid w:val="00D25FB7"/>
    <w:rsid w:val="00D26163"/>
    <w:rsid w:val="00D26B4A"/>
    <w:rsid w:val="00D26C17"/>
    <w:rsid w:val="00D359D2"/>
    <w:rsid w:val="00D37317"/>
    <w:rsid w:val="00D37F19"/>
    <w:rsid w:val="00D41265"/>
    <w:rsid w:val="00D41748"/>
    <w:rsid w:val="00D44771"/>
    <w:rsid w:val="00D44845"/>
    <w:rsid w:val="00D45AB7"/>
    <w:rsid w:val="00D47029"/>
    <w:rsid w:val="00D620B4"/>
    <w:rsid w:val="00D6726E"/>
    <w:rsid w:val="00D720F5"/>
    <w:rsid w:val="00D73735"/>
    <w:rsid w:val="00D74296"/>
    <w:rsid w:val="00D7431E"/>
    <w:rsid w:val="00D7474C"/>
    <w:rsid w:val="00D75A09"/>
    <w:rsid w:val="00D84992"/>
    <w:rsid w:val="00D85280"/>
    <w:rsid w:val="00D85A7D"/>
    <w:rsid w:val="00D86BF6"/>
    <w:rsid w:val="00D8716E"/>
    <w:rsid w:val="00D927A6"/>
    <w:rsid w:val="00D93664"/>
    <w:rsid w:val="00D93EAA"/>
    <w:rsid w:val="00D9633B"/>
    <w:rsid w:val="00DA3FA8"/>
    <w:rsid w:val="00DA4B4A"/>
    <w:rsid w:val="00DA5ACF"/>
    <w:rsid w:val="00DB0C4C"/>
    <w:rsid w:val="00DB35E4"/>
    <w:rsid w:val="00DB390E"/>
    <w:rsid w:val="00DB44D4"/>
    <w:rsid w:val="00DB4B9F"/>
    <w:rsid w:val="00DB65FB"/>
    <w:rsid w:val="00DB77B8"/>
    <w:rsid w:val="00DB7CE9"/>
    <w:rsid w:val="00DC0E68"/>
    <w:rsid w:val="00DC62C0"/>
    <w:rsid w:val="00DD108E"/>
    <w:rsid w:val="00DD1ECF"/>
    <w:rsid w:val="00DD34E4"/>
    <w:rsid w:val="00DD3561"/>
    <w:rsid w:val="00DD51D3"/>
    <w:rsid w:val="00DD70F5"/>
    <w:rsid w:val="00DE03E9"/>
    <w:rsid w:val="00DE116D"/>
    <w:rsid w:val="00DE24EE"/>
    <w:rsid w:val="00DE3394"/>
    <w:rsid w:val="00DE37DC"/>
    <w:rsid w:val="00DE79BE"/>
    <w:rsid w:val="00DF2A88"/>
    <w:rsid w:val="00DF72BB"/>
    <w:rsid w:val="00E0044C"/>
    <w:rsid w:val="00E005BD"/>
    <w:rsid w:val="00E00D71"/>
    <w:rsid w:val="00E02818"/>
    <w:rsid w:val="00E0641C"/>
    <w:rsid w:val="00E06FBD"/>
    <w:rsid w:val="00E10A58"/>
    <w:rsid w:val="00E219E3"/>
    <w:rsid w:val="00E22D4C"/>
    <w:rsid w:val="00E23E89"/>
    <w:rsid w:val="00E25B5F"/>
    <w:rsid w:val="00E27FA4"/>
    <w:rsid w:val="00E350D6"/>
    <w:rsid w:val="00E373E6"/>
    <w:rsid w:val="00E443EA"/>
    <w:rsid w:val="00E472CB"/>
    <w:rsid w:val="00E511C9"/>
    <w:rsid w:val="00E55557"/>
    <w:rsid w:val="00E57F21"/>
    <w:rsid w:val="00E6042F"/>
    <w:rsid w:val="00E60884"/>
    <w:rsid w:val="00E6140F"/>
    <w:rsid w:val="00E62B67"/>
    <w:rsid w:val="00E62F76"/>
    <w:rsid w:val="00E634A8"/>
    <w:rsid w:val="00E670F3"/>
    <w:rsid w:val="00E7100B"/>
    <w:rsid w:val="00E722BC"/>
    <w:rsid w:val="00E73F84"/>
    <w:rsid w:val="00E74F6B"/>
    <w:rsid w:val="00E81072"/>
    <w:rsid w:val="00E84902"/>
    <w:rsid w:val="00E92ACC"/>
    <w:rsid w:val="00E94359"/>
    <w:rsid w:val="00E94D8F"/>
    <w:rsid w:val="00E95ABF"/>
    <w:rsid w:val="00EA29C4"/>
    <w:rsid w:val="00EA5072"/>
    <w:rsid w:val="00EA744B"/>
    <w:rsid w:val="00EB2468"/>
    <w:rsid w:val="00EB33D9"/>
    <w:rsid w:val="00EB5433"/>
    <w:rsid w:val="00EB6886"/>
    <w:rsid w:val="00EC1727"/>
    <w:rsid w:val="00EC39B9"/>
    <w:rsid w:val="00EC55D1"/>
    <w:rsid w:val="00EC7849"/>
    <w:rsid w:val="00ED0F59"/>
    <w:rsid w:val="00ED3C55"/>
    <w:rsid w:val="00ED3D5C"/>
    <w:rsid w:val="00ED4EFA"/>
    <w:rsid w:val="00ED50A1"/>
    <w:rsid w:val="00ED7927"/>
    <w:rsid w:val="00ED7EF2"/>
    <w:rsid w:val="00EE0979"/>
    <w:rsid w:val="00EE0A82"/>
    <w:rsid w:val="00EE0FFB"/>
    <w:rsid w:val="00EE330F"/>
    <w:rsid w:val="00EE6F99"/>
    <w:rsid w:val="00EE7F0B"/>
    <w:rsid w:val="00EF1334"/>
    <w:rsid w:val="00EF2036"/>
    <w:rsid w:val="00EF5360"/>
    <w:rsid w:val="00EF6350"/>
    <w:rsid w:val="00EF6793"/>
    <w:rsid w:val="00EF67F8"/>
    <w:rsid w:val="00EF6F7E"/>
    <w:rsid w:val="00F00763"/>
    <w:rsid w:val="00F00AB1"/>
    <w:rsid w:val="00F03546"/>
    <w:rsid w:val="00F04785"/>
    <w:rsid w:val="00F04C18"/>
    <w:rsid w:val="00F05A1A"/>
    <w:rsid w:val="00F06A50"/>
    <w:rsid w:val="00F163DB"/>
    <w:rsid w:val="00F17442"/>
    <w:rsid w:val="00F17D93"/>
    <w:rsid w:val="00F25492"/>
    <w:rsid w:val="00F302A5"/>
    <w:rsid w:val="00F32C26"/>
    <w:rsid w:val="00F34B74"/>
    <w:rsid w:val="00F41F9E"/>
    <w:rsid w:val="00F43017"/>
    <w:rsid w:val="00F45213"/>
    <w:rsid w:val="00F46E7A"/>
    <w:rsid w:val="00F500B9"/>
    <w:rsid w:val="00F5117A"/>
    <w:rsid w:val="00F52C33"/>
    <w:rsid w:val="00F53A58"/>
    <w:rsid w:val="00F54293"/>
    <w:rsid w:val="00F57028"/>
    <w:rsid w:val="00F60974"/>
    <w:rsid w:val="00F63964"/>
    <w:rsid w:val="00F6532E"/>
    <w:rsid w:val="00F67230"/>
    <w:rsid w:val="00F705C3"/>
    <w:rsid w:val="00F76353"/>
    <w:rsid w:val="00F76B1C"/>
    <w:rsid w:val="00F817E4"/>
    <w:rsid w:val="00F838FD"/>
    <w:rsid w:val="00F8513A"/>
    <w:rsid w:val="00F93E9F"/>
    <w:rsid w:val="00FA2CC8"/>
    <w:rsid w:val="00FA333E"/>
    <w:rsid w:val="00FA74A0"/>
    <w:rsid w:val="00FA7513"/>
    <w:rsid w:val="00FB088A"/>
    <w:rsid w:val="00FB3A0B"/>
    <w:rsid w:val="00FB6758"/>
    <w:rsid w:val="00FC0C00"/>
    <w:rsid w:val="00FC10BA"/>
    <w:rsid w:val="00FC1452"/>
    <w:rsid w:val="00FC4ECD"/>
    <w:rsid w:val="00FD2602"/>
    <w:rsid w:val="00FD43E0"/>
    <w:rsid w:val="00FD4406"/>
    <w:rsid w:val="00FD51C6"/>
    <w:rsid w:val="00FE046C"/>
    <w:rsid w:val="00FE0A51"/>
    <w:rsid w:val="00FE29AC"/>
    <w:rsid w:val="00FE326F"/>
    <w:rsid w:val="00FE79C2"/>
    <w:rsid w:val="00FF0FB0"/>
    <w:rsid w:val="00FF59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6E7"/>
    <w:pPr>
      <w:spacing w:after="240" w:line="259" w:lineRule="auto"/>
    </w:pPr>
    <w:rPr>
      <w:rFonts w:ascii="Arial" w:eastAsia="Times New Roman" w:hAnsi="Arial" w:cs="Times New Roman"/>
      <w:sz w:val="20"/>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customStyle="1"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2B1FBB"/>
    <w:rPr>
      <w:szCs w:val="20"/>
    </w:rPr>
  </w:style>
  <w:style w:type="character" w:customStyle="1" w:styleId="FootnoteTextChar">
    <w:name w:val="Footnote Text Char"/>
    <w:basedOn w:val="DefaultParagraphFont"/>
    <w:link w:val="FootnoteText"/>
    <w:uiPriority w:val="99"/>
    <w:semiHidden/>
    <w:rsid w:val="002B1FBB"/>
    <w:rPr>
      <w:rFonts w:ascii="Times New Roman" w:eastAsia="Times New Roman" w:hAnsi="Times New Roman" w:cs="Times New Roman"/>
      <w:sz w:val="20"/>
      <w:szCs w:val="20"/>
      <w:lang w:val="el-GR" w:eastAsia="el-GR"/>
    </w:rPr>
  </w:style>
  <w:style w:type="paragraph" w:styleId="BodyText">
    <w:name w:val="Body Text"/>
    <w:basedOn w:val="Normal"/>
    <w:link w:val="BodyTextChar"/>
    <w:unhideWhenUsed/>
    <w:rsid w:val="006319F3"/>
    <w:pPr>
      <w:spacing w:after="120"/>
    </w:pPr>
    <w:rPr>
      <w:sz w:val="26"/>
      <w:szCs w:val="20"/>
      <w:lang w:val="en-US" w:eastAsia="en-US"/>
    </w:rPr>
  </w:style>
  <w:style w:type="character" w:customStyle="1" w:styleId="BodyTextChar">
    <w:name w:val="Body Text Char"/>
    <w:basedOn w:val="DefaultParagraphFont"/>
    <w:link w:val="BodyText"/>
    <w:rsid w:val="006319F3"/>
    <w:rPr>
      <w:rFonts w:ascii="Times New Roman" w:eastAsia="Times New Roman" w:hAnsi="Times New Roman" w:cs="Times New Roman"/>
      <w:sz w:val="26"/>
      <w:szCs w:val="20"/>
    </w:rPr>
  </w:style>
  <w:style w:type="table" w:styleId="TableGrid">
    <w:name w:val="Table Grid"/>
    <w:basedOn w:val="TableNormal"/>
    <w:uiPriority w:val="39"/>
    <w:rsid w:val="00385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C40288"/>
    <w:pPr>
      <w:numPr>
        <w:numId w:val="5"/>
      </w:numPr>
      <w:contextualSpacing/>
    </w:pPr>
  </w:style>
  <w:style w:type="paragraph" w:styleId="BalloonText">
    <w:name w:val="Balloon Text"/>
    <w:basedOn w:val="Normal"/>
    <w:link w:val="BalloonTextChar"/>
    <w:uiPriority w:val="99"/>
    <w:semiHidden/>
    <w:unhideWhenUsed/>
    <w:rsid w:val="0048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0D"/>
    <w:rPr>
      <w:rFonts w:ascii="Segoe UI" w:eastAsia="Times New Roman" w:hAnsi="Segoe UI" w:cs="Segoe UI"/>
      <w:sz w:val="18"/>
      <w:szCs w:val="18"/>
      <w:lang w:val="el-GR" w:eastAsia="el-GR"/>
    </w:rPr>
  </w:style>
  <w:style w:type="paragraph" w:customStyle="1" w:styleId="z1qcye">
    <w:name w:val="z1qcye"/>
    <w:basedOn w:val="Normal"/>
    <w:rsid w:val="00D206CE"/>
    <w:pPr>
      <w:spacing w:before="100" w:beforeAutospacing="1" w:after="100" w:afterAutospacing="1"/>
    </w:pPr>
    <w:rPr>
      <w:lang w:val="en-US" w:eastAsia="en-US"/>
    </w:rPr>
  </w:style>
  <w:style w:type="character" w:customStyle="1" w:styleId="t286pc">
    <w:name w:val="t286pc"/>
    <w:basedOn w:val="DefaultParagraphFont"/>
    <w:rsid w:val="00D206CE"/>
  </w:style>
  <w:style w:type="paragraph" w:customStyle="1" w:styleId="bnparagraphparagraph1b2m2">
    <w:name w:val="bnparagraph_paragraph_1b2m2"/>
    <w:basedOn w:val="Normal"/>
    <w:rsid w:val="000C58D2"/>
    <w:pPr>
      <w:spacing w:before="100" w:beforeAutospacing="1" w:after="100" w:afterAutospacing="1" w:line="240" w:lineRule="auto"/>
    </w:pPr>
    <w:rPr>
      <w:rFonts w:ascii="Times New Roman" w:hAnsi="Times New Roman"/>
      <w:sz w:val="24"/>
      <w:lang w:val="en-US" w:eastAsia="en-US"/>
    </w:rPr>
  </w:style>
  <w:style w:type="character" w:customStyle="1" w:styleId="inqyif">
    <w:name w:val="inqyif"/>
    <w:basedOn w:val="DefaultParagraphFont"/>
    <w:rsid w:val="00FB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195">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252783381">
      <w:bodyDiv w:val="1"/>
      <w:marLeft w:val="0"/>
      <w:marRight w:val="0"/>
      <w:marTop w:val="0"/>
      <w:marBottom w:val="0"/>
      <w:divBdr>
        <w:top w:val="none" w:sz="0" w:space="0" w:color="auto"/>
        <w:left w:val="none" w:sz="0" w:space="0" w:color="auto"/>
        <w:bottom w:val="none" w:sz="0" w:space="0" w:color="auto"/>
        <w:right w:val="none" w:sz="0" w:space="0" w:color="auto"/>
      </w:divBdr>
    </w:div>
    <w:div w:id="266548635">
      <w:bodyDiv w:val="1"/>
      <w:marLeft w:val="0"/>
      <w:marRight w:val="0"/>
      <w:marTop w:val="0"/>
      <w:marBottom w:val="0"/>
      <w:divBdr>
        <w:top w:val="none" w:sz="0" w:space="0" w:color="auto"/>
        <w:left w:val="none" w:sz="0" w:space="0" w:color="auto"/>
        <w:bottom w:val="none" w:sz="0" w:space="0" w:color="auto"/>
        <w:right w:val="none" w:sz="0" w:space="0" w:color="auto"/>
      </w:divBdr>
      <w:divsChild>
        <w:div w:id="1094977085">
          <w:marLeft w:val="0"/>
          <w:marRight w:val="0"/>
          <w:marTop w:val="0"/>
          <w:marBottom w:val="0"/>
          <w:divBdr>
            <w:top w:val="none" w:sz="0" w:space="0" w:color="auto"/>
            <w:left w:val="none" w:sz="0" w:space="0" w:color="auto"/>
            <w:bottom w:val="none" w:sz="0" w:space="0" w:color="auto"/>
            <w:right w:val="none" w:sz="0" w:space="0" w:color="auto"/>
          </w:divBdr>
        </w:div>
        <w:div w:id="2140028589">
          <w:marLeft w:val="0"/>
          <w:marRight w:val="0"/>
          <w:marTop w:val="0"/>
          <w:marBottom w:val="0"/>
          <w:divBdr>
            <w:top w:val="none" w:sz="0" w:space="0" w:color="auto"/>
            <w:left w:val="none" w:sz="0" w:space="0" w:color="auto"/>
            <w:bottom w:val="none" w:sz="0" w:space="0" w:color="auto"/>
            <w:right w:val="none" w:sz="0" w:space="0" w:color="auto"/>
          </w:divBdr>
          <w:divsChild>
            <w:div w:id="18162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589">
      <w:bodyDiv w:val="1"/>
      <w:marLeft w:val="0"/>
      <w:marRight w:val="0"/>
      <w:marTop w:val="0"/>
      <w:marBottom w:val="0"/>
      <w:divBdr>
        <w:top w:val="none" w:sz="0" w:space="0" w:color="auto"/>
        <w:left w:val="none" w:sz="0" w:space="0" w:color="auto"/>
        <w:bottom w:val="none" w:sz="0" w:space="0" w:color="auto"/>
        <w:right w:val="none" w:sz="0" w:space="0" w:color="auto"/>
      </w:divBdr>
      <w:divsChild>
        <w:div w:id="658847648">
          <w:marLeft w:val="0"/>
          <w:marRight w:val="0"/>
          <w:marTop w:val="0"/>
          <w:marBottom w:val="0"/>
          <w:divBdr>
            <w:top w:val="none" w:sz="0" w:space="0" w:color="auto"/>
            <w:left w:val="none" w:sz="0" w:space="0" w:color="auto"/>
            <w:bottom w:val="none" w:sz="0" w:space="0" w:color="auto"/>
            <w:right w:val="none" w:sz="0" w:space="0" w:color="auto"/>
          </w:divBdr>
          <w:divsChild>
            <w:div w:id="1079206925">
              <w:marLeft w:val="0"/>
              <w:marRight w:val="0"/>
              <w:marTop w:val="0"/>
              <w:marBottom w:val="0"/>
              <w:divBdr>
                <w:top w:val="none" w:sz="0" w:space="0" w:color="auto"/>
                <w:left w:val="none" w:sz="0" w:space="0" w:color="auto"/>
                <w:bottom w:val="none" w:sz="0" w:space="0" w:color="auto"/>
                <w:right w:val="none" w:sz="0" w:space="0" w:color="auto"/>
              </w:divBdr>
            </w:div>
            <w:div w:id="228612383">
              <w:marLeft w:val="0"/>
              <w:marRight w:val="0"/>
              <w:marTop w:val="0"/>
              <w:marBottom w:val="0"/>
              <w:divBdr>
                <w:top w:val="none" w:sz="0" w:space="0" w:color="auto"/>
                <w:left w:val="none" w:sz="0" w:space="0" w:color="auto"/>
                <w:bottom w:val="none" w:sz="0" w:space="0" w:color="auto"/>
                <w:right w:val="none" w:sz="0" w:space="0" w:color="auto"/>
              </w:divBdr>
              <w:divsChild>
                <w:div w:id="1962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1228">
          <w:marLeft w:val="0"/>
          <w:marRight w:val="0"/>
          <w:marTop w:val="0"/>
          <w:marBottom w:val="0"/>
          <w:divBdr>
            <w:top w:val="none" w:sz="0" w:space="0" w:color="auto"/>
            <w:left w:val="none" w:sz="0" w:space="0" w:color="auto"/>
            <w:bottom w:val="none" w:sz="0" w:space="0" w:color="auto"/>
            <w:right w:val="none" w:sz="0" w:space="0" w:color="auto"/>
          </w:divBdr>
          <w:divsChild>
            <w:div w:id="2146849805">
              <w:marLeft w:val="0"/>
              <w:marRight w:val="0"/>
              <w:marTop w:val="0"/>
              <w:marBottom w:val="0"/>
              <w:divBdr>
                <w:top w:val="none" w:sz="0" w:space="0" w:color="auto"/>
                <w:left w:val="none" w:sz="0" w:space="0" w:color="auto"/>
                <w:bottom w:val="none" w:sz="0" w:space="0" w:color="auto"/>
                <w:right w:val="none" w:sz="0" w:space="0" w:color="auto"/>
              </w:divBdr>
              <w:divsChild>
                <w:div w:id="1665015907">
                  <w:marLeft w:val="0"/>
                  <w:marRight w:val="0"/>
                  <w:marTop w:val="0"/>
                  <w:marBottom w:val="0"/>
                  <w:divBdr>
                    <w:top w:val="none" w:sz="0" w:space="0" w:color="auto"/>
                    <w:left w:val="none" w:sz="0" w:space="0" w:color="auto"/>
                    <w:bottom w:val="none" w:sz="0" w:space="0" w:color="auto"/>
                    <w:right w:val="none" w:sz="0" w:space="0" w:color="auto"/>
                  </w:divBdr>
                  <w:divsChild>
                    <w:div w:id="4450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1123">
      <w:bodyDiv w:val="1"/>
      <w:marLeft w:val="0"/>
      <w:marRight w:val="0"/>
      <w:marTop w:val="0"/>
      <w:marBottom w:val="0"/>
      <w:divBdr>
        <w:top w:val="none" w:sz="0" w:space="0" w:color="auto"/>
        <w:left w:val="none" w:sz="0" w:space="0" w:color="auto"/>
        <w:bottom w:val="none" w:sz="0" w:space="0" w:color="auto"/>
        <w:right w:val="none" w:sz="0" w:space="0" w:color="auto"/>
      </w:divBdr>
    </w:div>
    <w:div w:id="281227044">
      <w:bodyDiv w:val="1"/>
      <w:marLeft w:val="0"/>
      <w:marRight w:val="0"/>
      <w:marTop w:val="0"/>
      <w:marBottom w:val="0"/>
      <w:divBdr>
        <w:top w:val="none" w:sz="0" w:space="0" w:color="auto"/>
        <w:left w:val="none" w:sz="0" w:space="0" w:color="auto"/>
        <w:bottom w:val="none" w:sz="0" w:space="0" w:color="auto"/>
        <w:right w:val="none" w:sz="0" w:space="0" w:color="auto"/>
      </w:divBdr>
    </w:div>
    <w:div w:id="440224332">
      <w:bodyDiv w:val="1"/>
      <w:marLeft w:val="0"/>
      <w:marRight w:val="0"/>
      <w:marTop w:val="0"/>
      <w:marBottom w:val="0"/>
      <w:divBdr>
        <w:top w:val="none" w:sz="0" w:space="0" w:color="auto"/>
        <w:left w:val="none" w:sz="0" w:space="0" w:color="auto"/>
        <w:bottom w:val="none" w:sz="0" w:space="0" w:color="auto"/>
        <w:right w:val="none" w:sz="0" w:space="0" w:color="auto"/>
      </w:divBdr>
    </w:div>
    <w:div w:id="451637346">
      <w:bodyDiv w:val="1"/>
      <w:marLeft w:val="0"/>
      <w:marRight w:val="0"/>
      <w:marTop w:val="0"/>
      <w:marBottom w:val="0"/>
      <w:divBdr>
        <w:top w:val="none" w:sz="0" w:space="0" w:color="auto"/>
        <w:left w:val="none" w:sz="0" w:space="0" w:color="auto"/>
        <w:bottom w:val="none" w:sz="0" w:space="0" w:color="auto"/>
        <w:right w:val="none" w:sz="0" w:space="0" w:color="auto"/>
      </w:divBdr>
      <w:divsChild>
        <w:div w:id="476534234">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04825688">
      <w:bodyDiv w:val="1"/>
      <w:marLeft w:val="0"/>
      <w:marRight w:val="0"/>
      <w:marTop w:val="0"/>
      <w:marBottom w:val="0"/>
      <w:divBdr>
        <w:top w:val="none" w:sz="0" w:space="0" w:color="auto"/>
        <w:left w:val="none" w:sz="0" w:space="0" w:color="auto"/>
        <w:bottom w:val="none" w:sz="0" w:space="0" w:color="auto"/>
        <w:right w:val="none" w:sz="0" w:space="0" w:color="auto"/>
      </w:divBdr>
    </w:div>
    <w:div w:id="566768424">
      <w:bodyDiv w:val="1"/>
      <w:marLeft w:val="0"/>
      <w:marRight w:val="0"/>
      <w:marTop w:val="0"/>
      <w:marBottom w:val="0"/>
      <w:divBdr>
        <w:top w:val="none" w:sz="0" w:space="0" w:color="auto"/>
        <w:left w:val="none" w:sz="0" w:space="0" w:color="auto"/>
        <w:bottom w:val="none" w:sz="0" w:space="0" w:color="auto"/>
        <w:right w:val="none" w:sz="0" w:space="0" w:color="auto"/>
      </w:divBdr>
      <w:divsChild>
        <w:div w:id="875777571">
          <w:marLeft w:val="0"/>
          <w:marRight w:val="0"/>
          <w:marTop w:val="0"/>
          <w:marBottom w:val="0"/>
          <w:divBdr>
            <w:top w:val="none" w:sz="0" w:space="0" w:color="auto"/>
            <w:left w:val="none" w:sz="0" w:space="0" w:color="auto"/>
            <w:bottom w:val="none" w:sz="0" w:space="0" w:color="auto"/>
            <w:right w:val="none" w:sz="0" w:space="0" w:color="auto"/>
          </w:divBdr>
        </w:div>
      </w:divsChild>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712194676">
      <w:bodyDiv w:val="1"/>
      <w:marLeft w:val="0"/>
      <w:marRight w:val="0"/>
      <w:marTop w:val="0"/>
      <w:marBottom w:val="0"/>
      <w:divBdr>
        <w:top w:val="none" w:sz="0" w:space="0" w:color="auto"/>
        <w:left w:val="none" w:sz="0" w:space="0" w:color="auto"/>
        <w:bottom w:val="none" w:sz="0" w:space="0" w:color="auto"/>
        <w:right w:val="none" w:sz="0" w:space="0" w:color="auto"/>
      </w:divBdr>
      <w:divsChild>
        <w:div w:id="1623537319">
          <w:marLeft w:val="0"/>
          <w:marRight w:val="0"/>
          <w:marTop w:val="0"/>
          <w:marBottom w:val="0"/>
          <w:divBdr>
            <w:top w:val="none" w:sz="0" w:space="0" w:color="auto"/>
            <w:left w:val="none" w:sz="0" w:space="0" w:color="auto"/>
            <w:bottom w:val="none" w:sz="0" w:space="0" w:color="auto"/>
            <w:right w:val="none" w:sz="0" w:space="0" w:color="auto"/>
          </w:divBdr>
          <w:divsChild>
            <w:div w:id="223374333">
              <w:marLeft w:val="0"/>
              <w:marRight w:val="0"/>
              <w:marTop w:val="0"/>
              <w:marBottom w:val="0"/>
              <w:divBdr>
                <w:top w:val="none" w:sz="0" w:space="0" w:color="auto"/>
                <w:left w:val="none" w:sz="0" w:space="0" w:color="auto"/>
                <w:bottom w:val="none" w:sz="0" w:space="0" w:color="auto"/>
                <w:right w:val="none" w:sz="0" w:space="0" w:color="auto"/>
              </w:divBdr>
              <w:divsChild>
                <w:div w:id="1007557814">
                  <w:marLeft w:val="0"/>
                  <w:marRight w:val="0"/>
                  <w:marTop w:val="0"/>
                  <w:marBottom w:val="0"/>
                  <w:divBdr>
                    <w:top w:val="none" w:sz="0" w:space="0" w:color="auto"/>
                    <w:left w:val="none" w:sz="0" w:space="0" w:color="auto"/>
                    <w:bottom w:val="none" w:sz="0" w:space="0" w:color="auto"/>
                    <w:right w:val="none" w:sz="0" w:space="0" w:color="auto"/>
                  </w:divBdr>
                  <w:divsChild>
                    <w:div w:id="1769695434">
                      <w:marLeft w:val="0"/>
                      <w:marRight w:val="0"/>
                      <w:marTop w:val="0"/>
                      <w:marBottom w:val="0"/>
                      <w:divBdr>
                        <w:top w:val="none" w:sz="0" w:space="0" w:color="auto"/>
                        <w:left w:val="none" w:sz="0" w:space="0" w:color="auto"/>
                        <w:bottom w:val="none" w:sz="0" w:space="0" w:color="auto"/>
                        <w:right w:val="none" w:sz="0" w:space="0" w:color="auto"/>
                      </w:divBdr>
                    </w:div>
                    <w:div w:id="2107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2330">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62226119">
      <w:bodyDiv w:val="1"/>
      <w:marLeft w:val="0"/>
      <w:marRight w:val="0"/>
      <w:marTop w:val="0"/>
      <w:marBottom w:val="0"/>
      <w:divBdr>
        <w:top w:val="none" w:sz="0" w:space="0" w:color="auto"/>
        <w:left w:val="none" w:sz="0" w:space="0" w:color="auto"/>
        <w:bottom w:val="none" w:sz="0" w:space="0" w:color="auto"/>
        <w:right w:val="none" w:sz="0" w:space="0" w:color="auto"/>
      </w:divBdr>
    </w:div>
    <w:div w:id="1073743260">
      <w:bodyDiv w:val="1"/>
      <w:marLeft w:val="0"/>
      <w:marRight w:val="0"/>
      <w:marTop w:val="0"/>
      <w:marBottom w:val="0"/>
      <w:divBdr>
        <w:top w:val="none" w:sz="0" w:space="0" w:color="auto"/>
        <w:left w:val="none" w:sz="0" w:space="0" w:color="auto"/>
        <w:bottom w:val="none" w:sz="0" w:space="0" w:color="auto"/>
        <w:right w:val="none" w:sz="0" w:space="0" w:color="auto"/>
      </w:divBdr>
      <w:divsChild>
        <w:div w:id="506795278">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1276979466">
      <w:bodyDiv w:val="1"/>
      <w:marLeft w:val="0"/>
      <w:marRight w:val="0"/>
      <w:marTop w:val="0"/>
      <w:marBottom w:val="0"/>
      <w:divBdr>
        <w:top w:val="none" w:sz="0" w:space="0" w:color="auto"/>
        <w:left w:val="none" w:sz="0" w:space="0" w:color="auto"/>
        <w:bottom w:val="none" w:sz="0" w:space="0" w:color="auto"/>
        <w:right w:val="none" w:sz="0" w:space="0" w:color="auto"/>
      </w:divBdr>
    </w:div>
    <w:div w:id="1419518448">
      <w:bodyDiv w:val="1"/>
      <w:marLeft w:val="0"/>
      <w:marRight w:val="0"/>
      <w:marTop w:val="0"/>
      <w:marBottom w:val="0"/>
      <w:divBdr>
        <w:top w:val="none" w:sz="0" w:space="0" w:color="auto"/>
        <w:left w:val="none" w:sz="0" w:space="0" w:color="auto"/>
        <w:bottom w:val="none" w:sz="0" w:space="0" w:color="auto"/>
        <w:right w:val="none" w:sz="0" w:space="0" w:color="auto"/>
      </w:divBdr>
    </w:div>
    <w:div w:id="1445463764">
      <w:bodyDiv w:val="1"/>
      <w:marLeft w:val="0"/>
      <w:marRight w:val="0"/>
      <w:marTop w:val="0"/>
      <w:marBottom w:val="0"/>
      <w:divBdr>
        <w:top w:val="none" w:sz="0" w:space="0" w:color="auto"/>
        <w:left w:val="none" w:sz="0" w:space="0" w:color="auto"/>
        <w:bottom w:val="none" w:sz="0" w:space="0" w:color="auto"/>
        <w:right w:val="none" w:sz="0" w:space="0" w:color="auto"/>
      </w:divBdr>
    </w:div>
    <w:div w:id="1451582680">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815831643">
      <w:bodyDiv w:val="1"/>
      <w:marLeft w:val="0"/>
      <w:marRight w:val="0"/>
      <w:marTop w:val="0"/>
      <w:marBottom w:val="0"/>
      <w:divBdr>
        <w:top w:val="none" w:sz="0" w:space="0" w:color="auto"/>
        <w:left w:val="none" w:sz="0" w:space="0" w:color="auto"/>
        <w:bottom w:val="none" w:sz="0" w:space="0" w:color="auto"/>
        <w:right w:val="none" w:sz="0" w:space="0" w:color="auto"/>
      </w:divBdr>
    </w:div>
    <w:div w:id="2007973404">
      <w:bodyDiv w:val="1"/>
      <w:marLeft w:val="0"/>
      <w:marRight w:val="0"/>
      <w:marTop w:val="0"/>
      <w:marBottom w:val="0"/>
      <w:divBdr>
        <w:top w:val="none" w:sz="0" w:space="0" w:color="auto"/>
        <w:left w:val="none" w:sz="0" w:space="0" w:color="auto"/>
        <w:bottom w:val="none" w:sz="0" w:space="0" w:color="auto"/>
        <w:right w:val="none" w:sz="0" w:space="0" w:color="auto"/>
      </w:divBdr>
    </w:div>
    <w:div w:id="2014262964">
      <w:bodyDiv w:val="1"/>
      <w:marLeft w:val="0"/>
      <w:marRight w:val="0"/>
      <w:marTop w:val="0"/>
      <w:marBottom w:val="0"/>
      <w:divBdr>
        <w:top w:val="none" w:sz="0" w:space="0" w:color="auto"/>
        <w:left w:val="none" w:sz="0" w:space="0" w:color="auto"/>
        <w:bottom w:val="none" w:sz="0" w:space="0" w:color="auto"/>
        <w:right w:val="none" w:sz="0" w:space="0" w:color="auto"/>
      </w:divBdr>
      <w:divsChild>
        <w:div w:id="1157763293">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2030837867">
      <w:bodyDiv w:val="1"/>
      <w:marLeft w:val="0"/>
      <w:marRight w:val="0"/>
      <w:marTop w:val="0"/>
      <w:marBottom w:val="0"/>
      <w:divBdr>
        <w:top w:val="none" w:sz="0" w:space="0" w:color="auto"/>
        <w:left w:val="none" w:sz="0" w:space="0" w:color="auto"/>
        <w:bottom w:val="none" w:sz="0" w:space="0" w:color="auto"/>
        <w:right w:val="none" w:sz="0" w:space="0" w:color="auto"/>
      </w:divBdr>
    </w:div>
    <w:div w:id="2048606128">
      <w:bodyDiv w:val="1"/>
      <w:marLeft w:val="0"/>
      <w:marRight w:val="0"/>
      <w:marTop w:val="0"/>
      <w:marBottom w:val="0"/>
      <w:divBdr>
        <w:top w:val="none" w:sz="0" w:space="0" w:color="auto"/>
        <w:left w:val="none" w:sz="0" w:space="0" w:color="auto"/>
        <w:bottom w:val="none" w:sz="0" w:space="0" w:color="auto"/>
        <w:right w:val="none" w:sz="0" w:space="0" w:color="auto"/>
      </w:divBdr>
      <w:divsChild>
        <w:div w:id="958411669">
          <w:marLeft w:val="0"/>
          <w:marRight w:val="0"/>
          <w:marTop w:val="180"/>
          <w:marBottom w:val="240"/>
          <w:divBdr>
            <w:top w:val="none" w:sz="0" w:space="0" w:color="auto"/>
            <w:left w:val="none" w:sz="0" w:space="0" w:color="auto"/>
            <w:bottom w:val="none" w:sz="0" w:space="0" w:color="auto"/>
            <w:right w:val="none" w:sz="0" w:space="0" w:color="auto"/>
          </w:divBdr>
        </w:div>
        <w:div w:id="1731074215">
          <w:marLeft w:val="0"/>
          <w:marRight w:val="0"/>
          <w:marTop w:val="360"/>
          <w:marBottom w:val="180"/>
          <w:divBdr>
            <w:top w:val="none" w:sz="0" w:space="0" w:color="auto"/>
            <w:left w:val="none" w:sz="0" w:space="0" w:color="auto"/>
            <w:bottom w:val="none" w:sz="0" w:space="0" w:color="auto"/>
            <w:right w:val="none" w:sz="0" w:space="0" w:color="auto"/>
          </w:divBdr>
        </w:div>
        <w:div w:id="1502086740">
          <w:marLeft w:val="0"/>
          <w:marRight w:val="0"/>
          <w:marTop w:val="180"/>
          <w:marBottom w:val="240"/>
          <w:divBdr>
            <w:top w:val="none" w:sz="0" w:space="0" w:color="auto"/>
            <w:left w:val="none" w:sz="0" w:space="0" w:color="auto"/>
            <w:bottom w:val="none" w:sz="0" w:space="0" w:color="auto"/>
            <w:right w:val="none" w:sz="0" w:space="0" w:color="auto"/>
          </w:divBdr>
        </w:div>
        <w:div w:id="1253852245">
          <w:marLeft w:val="0"/>
          <w:marRight w:val="0"/>
          <w:marTop w:val="180"/>
          <w:marBottom w:val="240"/>
          <w:divBdr>
            <w:top w:val="none" w:sz="0" w:space="0" w:color="auto"/>
            <w:left w:val="none" w:sz="0" w:space="0" w:color="auto"/>
            <w:bottom w:val="none" w:sz="0" w:space="0" w:color="auto"/>
            <w:right w:val="none" w:sz="0" w:space="0" w:color="auto"/>
          </w:divBdr>
        </w:div>
        <w:div w:id="365444625">
          <w:marLeft w:val="0"/>
          <w:marRight w:val="0"/>
          <w:marTop w:val="360"/>
          <w:marBottom w:val="180"/>
          <w:divBdr>
            <w:top w:val="none" w:sz="0" w:space="0" w:color="auto"/>
            <w:left w:val="none" w:sz="0" w:space="0" w:color="auto"/>
            <w:bottom w:val="none" w:sz="0" w:space="0" w:color="auto"/>
            <w:right w:val="none" w:sz="0" w:space="0" w:color="auto"/>
          </w:divBdr>
        </w:div>
        <w:div w:id="827328854">
          <w:marLeft w:val="0"/>
          <w:marRight w:val="0"/>
          <w:marTop w:val="180"/>
          <w:marBottom w:val="240"/>
          <w:divBdr>
            <w:top w:val="none" w:sz="0" w:space="0" w:color="auto"/>
            <w:left w:val="none" w:sz="0" w:space="0" w:color="auto"/>
            <w:bottom w:val="none" w:sz="0" w:space="0" w:color="auto"/>
            <w:right w:val="none" w:sz="0" w:space="0" w:color="auto"/>
          </w:divBdr>
        </w:div>
        <w:div w:id="1319723025">
          <w:marLeft w:val="0"/>
          <w:marRight w:val="0"/>
          <w:marTop w:val="360"/>
          <w:marBottom w:val="180"/>
          <w:divBdr>
            <w:top w:val="none" w:sz="0" w:space="0" w:color="auto"/>
            <w:left w:val="none" w:sz="0" w:space="0" w:color="auto"/>
            <w:bottom w:val="none" w:sz="0" w:space="0" w:color="auto"/>
            <w:right w:val="none" w:sz="0" w:space="0" w:color="auto"/>
          </w:divBdr>
        </w:div>
        <w:div w:id="468867778">
          <w:marLeft w:val="0"/>
          <w:marRight w:val="0"/>
          <w:marTop w:val="180"/>
          <w:marBottom w:val="240"/>
          <w:divBdr>
            <w:top w:val="none" w:sz="0" w:space="0" w:color="auto"/>
            <w:left w:val="none" w:sz="0" w:space="0" w:color="auto"/>
            <w:bottom w:val="none" w:sz="0" w:space="0" w:color="auto"/>
            <w:right w:val="none" w:sz="0" w:space="0" w:color="auto"/>
          </w:divBdr>
        </w:div>
        <w:div w:id="1163353403">
          <w:marLeft w:val="0"/>
          <w:marRight w:val="0"/>
          <w:marTop w:val="360"/>
          <w:marBottom w:val="180"/>
          <w:divBdr>
            <w:top w:val="none" w:sz="0" w:space="0" w:color="auto"/>
            <w:left w:val="none" w:sz="0" w:space="0" w:color="auto"/>
            <w:bottom w:val="none" w:sz="0" w:space="0" w:color="auto"/>
            <w:right w:val="none" w:sz="0" w:space="0" w:color="auto"/>
          </w:divBdr>
        </w:div>
        <w:div w:id="1188837209">
          <w:marLeft w:val="0"/>
          <w:marRight w:val="0"/>
          <w:marTop w:val="180"/>
          <w:marBottom w:val="240"/>
          <w:divBdr>
            <w:top w:val="none" w:sz="0" w:space="0" w:color="auto"/>
            <w:left w:val="none" w:sz="0" w:space="0" w:color="auto"/>
            <w:bottom w:val="none" w:sz="0" w:space="0" w:color="auto"/>
            <w:right w:val="none" w:sz="0" w:space="0" w:color="auto"/>
          </w:divBdr>
        </w:div>
        <w:div w:id="1540363285">
          <w:marLeft w:val="0"/>
          <w:marRight w:val="0"/>
          <w:marTop w:val="180"/>
          <w:marBottom w:val="240"/>
          <w:divBdr>
            <w:top w:val="none" w:sz="0" w:space="0" w:color="auto"/>
            <w:left w:val="none" w:sz="0" w:space="0" w:color="auto"/>
            <w:bottom w:val="none" w:sz="0" w:space="0" w:color="auto"/>
            <w:right w:val="none" w:sz="0" w:space="0" w:color="auto"/>
          </w:divBdr>
        </w:div>
      </w:divsChild>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02213941">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rotopapas\Downloads\FLIP%20301%20Investigation%20Final%20Action%20FRN%207-23-26%20FINAL.pdf" TargetMode="External"/><Relationship Id="rId5" Type="http://schemas.openxmlformats.org/officeDocument/2006/relationships/webSettings" Target="webSettings.xml"/><Relationship Id="rId10" Type="http://schemas.openxmlformats.org/officeDocument/2006/relationships/hyperlink" Target="https://ustr.gov/about/policy-offices/press-office/press-releases/2026/july/ustr-takes-action-forced-labor-section-301-investigations" TargetMode="External"/><Relationship Id="rId4" Type="http://schemas.openxmlformats.org/officeDocument/2006/relationships/settings" Target="settings.xml"/><Relationship Id="rId9" Type="http://schemas.openxmlformats.org/officeDocument/2006/relationships/hyperlink" Target="C://Users/protopapas/Downloads/FLIP%20301%20Investigation%20Final%20Action%20FRN%207-23-26%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BFD5-3941-48CB-B156-DD089B5F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6080</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Γεώργιος Μανέττας</cp:lastModifiedBy>
  <cp:revision>2</cp:revision>
  <cp:lastPrinted>2026-06-12T18:25:00Z</cp:lastPrinted>
  <dcterms:created xsi:type="dcterms:W3CDTF">2026-07-25T07:30:00Z</dcterms:created>
  <dcterms:modified xsi:type="dcterms:W3CDTF">2026-07-25T07:30:00Z</dcterms:modified>
</cp:coreProperties>
</file>