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9C401" w14:textId="31BEF754" w:rsidR="00D452F2" w:rsidRPr="00DF0C55" w:rsidRDefault="006D32CA" w:rsidP="007D4164">
      <w:pPr>
        <w:spacing w:after="0" w:line="240" w:lineRule="auto"/>
        <w:rPr>
          <w:rFonts w:ascii="Aptos" w:eastAsia="SimSun" w:hAnsi="Aptos" w:cs="Calibri"/>
          <w:b/>
          <w:bCs/>
          <w:color w:val="FF0000"/>
          <w:sz w:val="24"/>
          <w:szCs w:val="20"/>
        </w:rPr>
        <w:sectPr w:rsidR="00D452F2" w:rsidRPr="00DF0C55" w:rsidSect="00071009">
          <w:headerReference w:type="default" r:id="rId11"/>
          <w:footerReference w:type="default" r:id="rId12"/>
          <w:footerReference w:type="first" r:id="rId13"/>
          <w:pgSz w:w="11906" w:h="16838" w:code="9"/>
          <w:pgMar w:top="27" w:right="850" w:bottom="0" w:left="1080" w:header="0" w:footer="572" w:gutter="0"/>
          <w:cols w:space="708"/>
          <w:titlePg/>
          <w:docGrid w:linePitch="360"/>
        </w:sectPr>
      </w:pPr>
      <w:r>
        <w:rPr>
          <w:noProof/>
        </w:rPr>
        <w:drawing>
          <wp:anchor distT="0" distB="0" distL="114300" distR="114300" simplePos="0" relativeHeight="251667456" behindDoc="1" locked="0" layoutInCell="1" allowOverlap="1" wp14:anchorId="651D875F" wp14:editId="0623122F">
            <wp:simplePos x="0" y="0"/>
            <wp:positionH relativeFrom="page">
              <wp:align>left</wp:align>
            </wp:positionH>
            <wp:positionV relativeFrom="paragraph">
              <wp:posOffset>-7620</wp:posOffset>
            </wp:positionV>
            <wp:extent cx="7635240" cy="10704621"/>
            <wp:effectExtent l="0" t="0" r="3810" b="1905"/>
            <wp:wrapNone/>
            <wp:docPr id="2070888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88514"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5240" cy="10704621"/>
                    </a:xfrm>
                    <a:prstGeom prst="rect">
                      <a:avLst/>
                    </a:prstGeom>
                  </pic:spPr>
                </pic:pic>
              </a:graphicData>
            </a:graphic>
            <wp14:sizeRelH relativeFrom="margin">
              <wp14:pctWidth>0</wp14:pctWidth>
            </wp14:sizeRelH>
            <wp14:sizeRelV relativeFrom="margin">
              <wp14:pctHeight>0</wp14:pctHeight>
            </wp14:sizeRelV>
          </wp:anchor>
        </w:drawing>
      </w:r>
      <w:r w:rsidRPr="00BE5E19">
        <w:rPr>
          <w:rFonts w:ascii="Aptos" w:hAnsi="Aptos"/>
          <w:noProof/>
          <w:color w:val="FF0000"/>
          <w:lang w:val="en-GB"/>
        </w:rPr>
        <mc:AlternateContent>
          <mc:Choice Requires="wps">
            <w:drawing>
              <wp:anchor distT="45720" distB="45720" distL="114300" distR="114300" simplePos="0" relativeHeight="251663360" behindDoc="0" locked="0" layoutInCell="1" allowOverlap="1" wp14:anchorId="675C2C5F" wp14:editId="2B75441F">
                <wp:simplePos x="0" y="0"/>
                <wp:positionH relativeFrom="margin">
                  <wp:posOffset>-229235</wp:posOffset>
                </wp:positionH>
                <wp:positionV relativeFrom="paragraph">
                  <wp:posOffset>9443720</wp:posOffset>
                </wp:positionV>
                <wp:extent cx="3152775" cy="483870"/>
                <wp:effectExtent l="0" t="0" r="0" b="25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483870"/>
                        </a:xfrm>
                        <a:prstGeom prst="rect">
                          <a:avLst/>
                        </a:prstGeom>
                        <a:noFill/>
                        <a:ln w="9525">
                          <a:noFill/>
                          <a:miter lim="800000"/>
                          <a:headEnd/>
                          <a:tailEnd/>
                        </a:ln>
                      </wps:spPr>
                      <wps:txbx>
                        <w:txbxContent>
                          <w:p w14:paraId="1303D6F4" w14:textId="77777777" w:rsidR="00DF0C55" w:rsidRPr="00DF0C55" w:rsidRDefault="00DF0C55" w:rsidP="00DF0C55">
                            <w:pPr>
                              <w:spacing w:after="0"/>
                              <w:rPr>
                                <w:rFonts w:ascii="Aptos" w:hAnsi="Aptos"/>
                                <w:b/>
                                <w:color w:val="FFFFFF" w:themeColor="background1"/>
                                <w:lang w:val="en-US"/>
                              </w:rPr>
                            </w:pPr>
                            <w:r w:rsidRPr="00DF0C55">
                              <w:rPr>
                                <w:rFonts w:ascii="Aptos" w:hAnsi="Aptos"/>
                                <w:b/>
                                <w:color w:val="FFFFFF" w:themeColor="background1"/>
                                <w:lang w:val="en-US"/>
                              </w:rPr>
                              <w:t>ΡΥΘΜΙΖΟΜΕΝΗ ΠΛΗΡΟΦΟΡΙΑ</w:t>
                            </w:r>
                          </w:p>
                          <w:p w14:paraId="6CB12DB1" w14:textId="155A0AF6" w:rsidR="00D452F2" w:rsidRPr="00FC5CF5" w:rsidRDefault="00DF0C55" w:rsidP="00DF0C55">
                            <w:pPr>
                              <w:spacing w:after="0"/>
                              <w:rPr>
                                <w:rFonts w:ascii="Aptos" w:hAnsi="Aptos"/>
                                <w:b/>
                                <w:color w:val="FFFFFF" w:themeColor="background1"/>
                                <w:lang w:val="en-US"/>
                              </w:rPr>
                            </w:pPr>
                            <w:r w:rsidRPr="00DF0C55">
                              <w:rPr>
                                <w:rFonts w:ascii="Aptos" w:hAnsi="Aptos"/>
                                <w:b/>
                                <w:color w:val="FFFFFF" w:themeColor="background1"/>
                                <w:lang w:val="en-US"/>
                              </w:rPr>
                              <w:t>ΠΡΟΝΟΜΙΑΚΗ ΠΛΗΡΟΦΟΡΙΑ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C2C5F" id="_x0000_t202" coordsize="21600,21600" o:spt="202" path="m,l,21600r21600,l21600,xe">
                <v:stroke joinstyle="miter"/>
                <v:path gradientshapeok="t" o:connecttype="rect"/>
              </v:shapetype>
              <v:shape id="Text Box 6" o:spid="_x0000_s1026" type="#_x0000_t202" style="position:absolute;margin-left:-18.05pt;margin-top:743.6pt;width:248.25pt;height:38.1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" filled="f" stroked="f">
                <v:textbox style="mso-fit-shape-to-text:t">
                  <w:txbxContent>
                    <w:p w14:paraId="1303D6F4" w14:textId="77777777" w:rsidR="00DF0C55" w:rsidRPr="00DF0C55" w:rsidRDefault="00DF0C55" w:rsidP="00DF0C55">
                      <w:pPr>
                        <w:spacing w:after="0"/>
                        <w:rPr>
                          <w:rFonts w:ascii="Aptos" w:hAnsi="Aptos"/>
                          <w:b/>
                          <w:color w:val="FFFFFF" w:themeColor="background1"/>
                          <w:lang w:val="en-US"/>
                        </w:rPr>
                      </w:pPr>
                      <w:r w:rsidRPr="00DF0C55">
                        <w:rPr>
                          <w:rFonts w:ascii="Aptos" w:hAnsi="Aptos"/>
                          <w:b/>
                          <w:color w:val="FFFFFF" w:themeColor="background1"/>
                          <w:lang w:val="en-US"/>
                        </w:rPr>
                        <w:t>ΡΥΘΜΙΖΟΜΕΝΗ ΠΛΗΡΟΦΟΡΙΑ</w:t>
                      </w:r>
                    </w:p>
                    <w:p w14:paraId="6CB12DB1" w14:textId="155A0AF6" w:rsidR="00D452F2" w:rsidRPr="00FC5CF5" w:rsidRDefault="00DF0C55" w:rsidP="00DF0C55">
                      <w:pPr>
                        <w:spacing w:after="0"/>
                        <w:rPr>
                          <w:rFonts w:ascii="Aptos" w:hAnsi="Aptos"/>
                          <w:b/>
                          <w:color w:val="FFFFFF" w:themeColor="background1"/>
                          <w:lang w:val="en-US"/>
                        </w:rPr>
                      </w:pPr>
                      <w:r w:rsidRPr="00DF0C55">
                        <w:rPr>
                          <w:rFonts w:ascii="Aptos" w:hAnsi="Aptos"/>
                          <w:b/>
                          <w:color w:val="FFFFFF" w:themeColor="background1"/>
                          <w:lang w:val="en-US"/>
                        </w:rPr>
                        <w:t>ΠΡΟΝΟΜΙΑΚΗ ΠΛΗΡΟΦΟΡΙΑ</w:t>
                      </w:r>
                    </w:p>
                  </w:txbxContent>
                </v:textbox>
                <w10:wrap type="square" anchorx="margin"/>
              </v:shape>
            </w:pict>
          </mc:Fallback>
        </mc:AlternateContent>
      </w:r>
      <w:r w:rsidR="00DF0C55" w:rsidRPr="00BE5E19">
        <w:rPr>
          <w:rFonts w:ascii="Aptos" w:hAnsi="Aptos"/>
          <w:noProof/>
          <w:color w:val="FF0000"/>
          <w:lang w:val="en-GB"/>
        </w:rPr>
        <mc:AlternateContent>
          <mc:Choice Requires="wps">
            <w:drawing>
              <wp:anchor distT="0" distB="0" distL="114300" distR="114300" simplePos="0" relativeHeight="251665408" behindDoc="0" locked="0" layoutInCell="1" allowOverlap="1" wp14:anchorId="2CAA23E7" wp14:editId="173D2266">
                <wp:simplePos x="0" y="0"/>
                <wp:positionH relativeFrom="margin">
                  <wp:posOffset>-295275</wp:posOffset>
                </wp:positionH>
                <wp:positionV relativeFrom="paragraph">
                  <wp:posOffset>5469255</wp:posOffset>
                </wp:positionV>
                <wp:extent cx="2838450" cy="19812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1981200"/>
                        </a:xfrm>
                        <a:prstGeom prst="rect">
                          <a:avLst/>
                        </a:prstGeom>
                        <a:noFill/>
                        <a:ln w="6350">
                          <a:noFill/>
                        </a:ln>
                        <a:effectLst/>
                      </wps:spPr>
                      <wps:txbx>
                        <w:txbxContent>
                          <w:p w14:paraId="63E5F5A4" w14:textId="272F3211" w:rsidR="00BE52CD" w:rsidRPr="00DF0C55" w:rsidRDefault="00DF0C55" w:rsidP="00BE52CD">
                            <w:pPr>
                              <w:spacing w:after="0"/>
                              <w:rPr>
                                <w:rFonts w:ascii="Aptos" w:hAnsi="Aptos"/>
                                <w:b/>
                                <w:bCs/>
                                <w:color w:val="FFFFFF" w:themeColor="background1"/>
                                <w:sz w:val="56"/>
                                <w:szCs w:val="160"/>
                              </w:rPr>
                            </w:pPr>
                            <w:r>
                              <w:rPr>
                                <w:rFonts w:ascii="Aptos" w:hAnsi="Aptos"/>
                                <w:b/>
                                <w:bCs/>
                                <w:color w:val="FFFFFF" w:themeColor="background1"/>
                                <w:sz w:val="56"/>
                                <w:szCs w:val="160"/>
                              </w:rPr>
                              <w:t>Δελτίο</w:t>
                            </w:r>
                            <w:r w:rsidRPr="00DF0C55">
                              <w:rPr>
                                <w:rFonts w:ascii="Aptos" w:hAnsi="Aptos"/>
                                <w:b/>
                                <w:bCs/>
                                <w:color w:val="FFFFFF" w:themeColor="background1"/>
                                <w:sz w:val="56"/>
                                <w:szCs w:val="160"/>
                              </w:rPr>
                              <w:t xml:space="preserve"> </w:t>
                            </w:r>
                            <w:r>
                              <w:rPr>
                                <w:rFonts w:ascii="Aptos" w:hAnsi="Aptos"/>
                                <w:b/>
                                <w:bCs/>
                                <w:color w:val="FFFFFF" w:themeColor="background1"/>
                                <w:sz w:val="56"/>
                                <w:szCs w:val="160"/>
                              </w:rPr>
                              <w:t>Τύπου</w:t>
                            </w:r>
                          </w:p>
                          <w:p w14:paraId="77C80567" w14:textId="77777777" w:rsidR="00DF0C55" w:rsidRPr="006D32CA" w:rsidRDefault="00DF0C55" w:rsidP="00DF0C55">
                            <w:pPr>
                              <w:spacing w:after="0" w:line="240" w:lineRule="auto"/>
                              <w:rPr>
                                <w:rFonts w:ascii="Aptos" w:hAnsi="Aptos"/>
                                <w:color w:val="FFFFFF" w:themeColor="background1"/>
                                <w:sz w:val="40"/>
                                <w:szCs w:val="56"/>
                              </w:rPr>
                            </w:pPr>
                            <w:r w:rsidRPr="006D32CA">
                              <w:rPr>
                                <w:rFonts w:ascii="Aptos" w:hAnsi="Aptos"/>
                                <w:color w:val="FFFFFF" w:themeColor="background1"/>
                                <w:sz w:val="40"/>
                                <w:szCs w:val="56"/>
                              </w:rPr>
                              <w:t>Οικονομικά αποτελέσματα</w:t>
                            </w:r>
                          </w:p>
                          <w:p w14:paraId="06FB68EB" w14:textId="3DE18CFD" w:rsidR="00BE52CD" w:rsidRPr="006D32CA" w:rsidRDefault="00DF0C55" w:rsidP="00DF0C55">
                            <w:pPr>
                              <w:spacing w:after="0" w:line="240" w:lineRule="auto"/>
                              <w:rPr>
                                <w:rFonts w:ascii="Aptos" w:hAnsi="Aptos"/>
                                <w:color w:val="FFFFFF" w:themeColor="background1"/>
                                <w:sz w:val="40"/>
                                <w:szCs w:val="56"/>
                              </w:rPr>
                            </w:pPr>
                            <w:r w:rsidRPr="006D32CA">
                              <w:rPr>
                                <w:rFonts w:ascii="Aptos" w:hAnsi="Aptos"/>
                                <w:color w:val="FFFFFF" w:themeColor="background1"/>
                                <w:sz w:val="40"/>
                                <w:szCs w:val="56"/>
                              </w:rPr>
                              <w:t>πρώτου εξαμήνου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A23E7" id="Text Box 28" o:spid="_x0000_s1027" type="#_x0000_t202" style="position:absolute;margin-left:-23.25pt;margin-top:430.65pt;width:223.5pt;height:1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" filled="f" stroked="f" strokeweight=".5pt">
                <v:textbox>
                  <w:txbxContent>
                    <w:p w14:paraId="63E5F5A4" w14:textId="272F3211" w:rsidR="00BE52CD" w:rsidRPr="00DF0C55" w:rsidRDefault="00DF0C55" w:rsidP="00BE52CD">
                      <w:pPr>
                        <w:spacing w:after="0"/>
                        <w:rPr>
                          <w:rFonts w:ascii="Aptos" w:hAnsi="Aptos"/>
                          <w:b/>
                          <w:bCs/>
                          <w:color w:val="FFFFFF" w:themeColor="background1"/>
                          <w:sz w:val="56"/>
                          <w:szCs w:val="160"/>
                        </w:rPr>
                      </w:pPr>
                      <w:r>
                        <w:rPr>
                          <w:rFonts w:ascii="Aptos" w:hAnsi="Aptos"/>
                          <w:b/>
                          <w:bCs/>
                          <w:color w:val="FFFFFF" w:themeColor="background1"/>
                          <w:sz w:val="56"/>
                          <w:szCs w:val="160"/>
                        </w:rPr>
                        <w:t>Δελτίο</w:t>
                      </w:r>
                      <w:r w:rsidRPr="00DF0C55">
                        <w:rPr>
                          <w:rFonts w:ascii="Aptos" w:hAnsi="Aptos"/>
                          <w:b/>
                          <w:bCs/>
                          <w:color w:val="FFFFFF" w:themeColor="background1"/>
                          <w:sz w:val="56"/>
                          <w:szCs w:val="160"/>
                        </w:rPr>
                        <w:t xml:space="preserve"> </w:t>
                      </w:r>
                      <w:r>
                        <w:rPr>
                          <w:rFonts w:ascii="Aptos" w:hAnsi="Aptos"/>
                          <w:b/>
                          <w:bCs/>
                          <w:color w:val="FFFFFF" w:themeColor="background1"/>
                          <w:sz w:val="56"/>
                          <w:szCs w:val="160"/>
                        </w:rPr>
                        <w:t>Τύπου</w:t>
                      </w:r>
                    </w:p>
                    <w:p w14:paraId="77C80567" w14:textId="77777777" w:rsidR="00DF0C55" w:rsidRPr="006D32CA" w:rsidRDefault="00DF0C55" w:rsidP="00DF0C55">
                      <w:pPr>
                        <w:spacing w:after="0" w:line="240" w:lineRule="auto"/>
                        <w:rPr>
                          <w:rFonts w:ascii="Aptos" w:hAnsi="Aptos"/>
                          <w:color w:val="FFFFFF" w:themeColor="background1"/>
                          <w:sz w:val="40"/>
                          <w:szCs w:val="56"/>
                        </w:rPr>
                      </w:pPr>
                      <w:r w:rsidRPr="006D32CA">
                        <w:rPr>
                          <w:rFonts w:ascii="Aptos" w:hAnsi="Aptos"/>
                          <w:color w:val="FFFFFF" w:themeColor="background1"/>
                          <w:sz w:val="40"/>
                          <w:szCs w:val="56"/>
                        </w:rPr>
                        <w:t>Οικονομικά αποτελέσματα</w:t>
                      </w:r>
                    </w:p>
                    <w:p w14:paraId="06FB68EB" w14:textId="3DE18CFD" w:rsidR="00BE52CD" w:rsidRPr="006D32CA" w:rsidRDefault="00DF0C55" w:rsidP="00DF0C55">
                      <w:pPr>
                        <w:spacing w:after="0" w:line="240" w:lineRule="auto"/>
                        <w:rPr>
                          <w:rFonts w:ascii="Aptos" w:hAnsi="Aptos"/>
                          <w:color w:val="FFFFFF" w:themeColor="background1"/>
                          <w:sz w:val="40"/>
                          <w:szCs w:val="56"/>
                        </w:rPr>
                      </w:pPr>
                      <w:r w:rsidRPr="006D32CA">
                        <w:rPr>
                          <w:rFonts w:ascii="Aptos" w:hAnsi="Aptos"/>
                          <w:color w:val="FFFFFF" w:themeColor="background1"/>
                          <w:sz w:val="40"/>
                          <w:szCs w:val="56"/>
                        </w:rPr>
                        <w:t>πρώτου εξαμήνου 2026</w:t>
                      </w:r>
                    </w:p>
                  </w:txbxContent>
                </v:textbox>
                <w10:wrap anchorx="margin"/>
              </v:shape>
            </w:pict>
          </mc:Fallback>
        </mc:AlternateContent>
      </w:r>
      <w:r w:rsidR="007D4164" w:rsidRPr="00DF0C55">
        <w:rPr>
          <w:rFonts w:ascii="Aptos" w:hAnsi="Aptos"/>
          <w:noProof/>
          <w:color w:val="FF0000"/>
        </w:rPr>
        <w:t xml:space="preserve"> </w:t>
      </w:r>
    </w:p>
    <w:p w14:paraId="027B5337" w14:textId="2A53E893" w:rsidR="00DF0C55" w:rsidRDefault="00DF0C55" w:rsidP="00923930">
      <w:pPr>
        <w:spacing w:after="120" w:line="240" w:lineRule="auto"/>
        <w:jc w:val="both"/>
        <w:rPr>
          <w:rFonts w:ascii="Aptos" w:eastAsia="SimSun" w:hAnsi="Aptos" w:cs="Calibri"/>
          <w:b/>
          <w:bCs/>
          <w:color w:val="4F6228"/>
          <w:sz w:val="24"/>
          <w:szCs w:val="20"/>
        </w:rPr>
      </w:pPr>
      <w:r w:rsidRPr="00DF0C55">
        <w:rPr>
          <w:rFonts w:ascii="Aptos" w:eastAsia="SimSun" w:hAnsi="Aptos" w:cs="Calibri"/>
          <w:b/>
          <w:bCs/>
          <w:color w:val="4F6228"/>
          <w:sz w:val="24"/>
          <w:szCs w:val="20"/>
        </w:rPr>
        <w:lastRenderedPageBreak/>
        <w:t>Οικονομικά αποτελέσματα πρώτου εξαμήνου 202</w:t>
      </w:r>
      <w:r w:rsidR="001F02BF">
        <w:rPr>
          <w:rFonts w:ascii="Aptos" w:eastAsia="SimSun" w:hAnsi="Aptos" w:cs="Calibri"/>
          <w:b/>
          <w:bCs/>
          <w:color w:val="4F6228"/>
          <w:sz w:val="24"/>
          <w:szCs w:val="20"/>
        </w:rPr>
        <w:t>6</w:t>
      </w:r>
    </w:p>
    <w:p w14:paraId="2166EA1E" w14:textId="62A9B5F0" w:rsidR="009D4940" w:rsidRPr="00DF0C55" w:rsidRDefault="00DF0C55" w:rsidP="00923930">
      <w:pPr>
        <w:spacing w:after="120" w:line="240" w:lineRule="auto"/>
        <w:jc w:val="both"/>
        <w:rPr>
          <w:rFonts w:ascii="Aptos" w:eastAsia="MS Mincho" w:hAnsi="Aptos" w:cs="Calibri"/>
          <w:b/>
        </w:rPr>
      </w:pPr>
      <w:r w:rsidRPr="00DF0C55">
        <w:rPr>
          <w:rFonts w:ascii="Aptos" w:eastAsia="MS Mincho" w:hAnsi="Aptos" w:cs="Calibri"/>
          <w:b/>
        </w:rPr>
        <w:t xml:space="preserve">Βρυξέλλες, </w:t>
      </w:r>
      <w:r w:rsidRPr="00267796">
        <w:rPr>
          <w:rFonts w:ascii="Aptos" w:eastAsia="MS Mincho" w:hAnsi="Aptos" w:cs="Calibri"/>
          <w:b/>
        </w:rPr>
        <w:t xml:space="preserve">4 Αυγούστου 2026 </w:t>
      </w:r>
      <w:r w:rsidR="00B34BC4" w:rsidRPr="00267796">
        <w:rPr>
          <w:rFonts w:ascii="Aptos" w:eastAsia="MS Mincho" w:hAnsi="Aptos" w:cs="Calibri"/>
          <w:b/>
        </w:rPr>
        <w:t xml:space="preserve">- 5:40 </w:t>
      </w:r>
      <w:r w:rsidRPr="00267796">
        <w:rPr>
          <w:rFonts w:ascii="Aptos" w:eastAsia="MS Mincho" w:hAnsi="Aptos" w:cs="Calibri"/>
          <w:b/>
        </w:rPr>
        <w:t>μ.μ.</w:t>
      </w:r>
      <w:r w:rsidR="00B34BC4" w:rsidRPr="00267796">
        <w:rPr>
          <w:rFonts w:ascii="Aptos" w:eastAsia="MS Mincho" w:hAnsi="Aptos" w:cs="Calibri"/>
          <w:b/>
        </w:rPr>
        <w:t xml:space="preserve"> </w:t>
      </w:r>
      <w:r w:rsidR="00B34BC4" w:rsidRPr="00267796">
        <w:rPr>
          <w:rFonts w:ascii="Aptos" w:eastAsia="MS Mincho" w:hAnsi="Aptos" w:cs="Calibri"/>
          <w:b/>
          <w:lang w:val="en-GB"/>
        </w:rPr>
        <w:t>CET</w:t>
      </w:r>
    </w:p>
    <w:p w14:paraId="0E3B1820" w14:textId="6D1762EE" w:rsidR="00DF0C55" w:rsidRPr="00DF0C55" w:rsidRDefault="00DF0C55" w:rsidP="005E0EB8">
      <w:pPr>
        <w:spacing w:after="120" w:line="240" w:lineRule="auto"/>
        <w:rPr>
          <w:rFonts w:ascii="Aptos" w:hAnsi="Aptos"/>
        </w:rPr>
      </w:pPr>
      <w:bookmarkStart w:id="0" w:name="_Hlk3375847"/>
      <w:r w:rsidRPr="00DF0C55">
        <w:rPr>
          <w:rFonts w:ascii="Aptos" w:hAnsi="Aptos"/>
        </w:rPr>
        <w:t xml:space="preserve">Η </w:t>
      </w:r>
      <w:r w:rsidRPr="00DF0C55">
        <w:rPr>
          <w:rFonts w:ascii="Aptos" w:hAnsi="Aptos"/>
          <w:lang w:val="en-GB"/>
        </w:rPr>
        <w:t>Cenergy</w:t>
      </w:r>
      <w:r w:rsidRPr="00DF0C55">
        <w:rPr>
          <w:rFonts w:ascii="Aptos" w:hAnsi="Aptos"/>
        </w:rPr>
        <w:t xml:space="preserve"> </w:t>
      </w:r>
      <w:r w:rsidRPr="00DF0C55">
        <w:rPr>
          <w:rFonts w:ascii="Aptos" w:hAnsi="Aptos"/>
          <w:lang w:val="en-GB"/>
        </w:rPr>
        <w:t>Holdings</w:t>
      </w:r>
      <w:r w:rsidRPr="00DF0C55">
        <w:rPr>
          <w:rFonts w:ascii="Aptos" w:hAnsi="Aptos"/>
        </w:rPr>
        <w:t xml:space="preserve"> </w:t>
      </w:r>
      <w:r w:rsidRPr="00DF0C55">
        <w:rPr>
          <w:rFonts w:ascii="Aptos" w:hAnsi="Aptos"/>
          <w:lang w:val="en-GB"/>
        </w:rPr>
        <w:t>S</w:t>
      </w:r>
      <w:r w:rsidRPr="00DF0C55">
        <w:rPr>
          <w:rFonts w:ascii="Aptos" w:hAnsi="Aptos"/>
        </w:rPr>
        <w:t>.</w:t>
      </w:r>
      <w:r w:rsidRPr="00DF0C55">
        <w:rPr>
          <w:rFonts w:ascii="Aptos" w:hAnsi="Aptos"/>
          <w:lang w:val="en-GB"/>
        </w:rPr>
        <w:t>A</w:t>
      </w:r>
      <w:r w:rsidRPr="00DF0C55">
        <w:rPr>
          <w:rFonts w:ascii="Aptos" w:hAnsi="Aptos"/>
        </w:rPr>
        <w:t xml:space="preserve">. (Χρηματιστήριο </w:t>
      </w:r>
      <w:r w:rsidRPr="00DF0C55">
        <w:rPr>
          <w:rFonts w:ascii="Aptos" w:hAnsi="Aptos"/>
          <w:lang w:val="en-GB"/>
        </w:rPr>
        <w:t>Euronext</w:t>
      </w:r>
      <w:r w:rsidRPr="00DF0C55">
        <w:rPr>
          <w:rFonts w:ascii="Aptos" w:hAnsi="Aptos"/>
        </w:rPr>
        <w:t xml:space="preserve"> Βρυξελλών, Χρηματιστήριο </w:t>
      </w:r>
      <w:r>
        <w:rPr>
          <w:rFonts w:ascii="Aptos" w:hAnsi="Aptos"/>
          <w:lang w:val="en-US"/>
        </w:rPr>
        <w:t>Euronext</w:t>
      </w:r>
      <w:r w:rsidRPr="00DF0C55">
        <w:rPr>
          <w:rFonts w:ascii="Aptos" w:hAnsi="Aptos"/>
        </w:rPr>
        <w:t xml:space="preserve"> Αθηνών: </w:t>
      </w:r>
      <w:r w:rsidRPr="00DF0C55">
        <w:rPr>
          <w:rFonts w:ascii="Aptos" w:hAnsi="Aptos"/>
          <w:lang w:val="en-GB"/>
        </w:rPr>
        <w:t>CENER</w:t>
      </w:r>
      <w:r w:rsidRPr="00DF0C55">
        <w:rPr>
          <w:rFonts w:ascii="Aptos" w:hAnsi="Aptos"/>
        </w:rPr>
        <w:t>), στο εξής «</w:t>
      </w:r>
      <w:r w:rsidRPr="00DF0C55">
        <w:rPr>
          <w:rFonts w:ascii="Aptos" w:hAnsi="Aptos"/>
          <w:lang w:val="en-GB"/>
        </w:rPr>
        <w:t>Cenergy</w:t>
      </w:r>
      <w:r w:rsidRPr="00DF0C55">
        <w:rPr>
          <w:rFonts w:ascii="Aptos" w:hAnsi="Aptos"/>
        </w:rPr>
        <w:t xml:space="preserve"> </w:t>
      </w:r>
      <w:r w:rsidRPr="00DF0C55">
        <w:rPr>
          <w:rFonts w:ascii="Aptos" w:hAnsi="Aptos"/>
          <w:lang w:val="en-GB"/>
        </w:rPr>
        <w:t>Holdings</w:t>
      </w:r>
      <w:r w:rsidRPr="00DF0C55">
        <w:rPr>
          <w:rFonts w:ascii="Aptos" w:hAnsi="Aptos"/>
        </w:rPr>
        <w:t>» ή «ο Όμιλος», ανακοινώνει σήμερα τα οικονομικά της αποτελέσματα για το α’ εξάμηνο του 2026.</w:t>
      </w:r>
    </w:p>
    <w:p w14:paraId="1B4F583A" w14:textId="7E0EF92F" w:rsidR="00DF0C55" w:rsidRPr="00C07028" w:rsidRDefault="00E42404" w:rsidP="005E0EB8">
      <w:pPr>
        <w:spacing w:after="120" w:line="240" w:lineRule="auto"/>
        <w:rPr>
          <w:rFonts w:ascii="Aptos" w:hAnsi="Aptos"/>
          <w:sz w:val="26"/>
          <w:szCs w:val="26"/>
        </w:rPr>
      </w:pPr>
      <w:r>
        <w:rPr>
          <w:rFonts w:ascii="Aptos" w:hAnsi="Aptos"/>
          <w:b/>
          <w:color w:val="4F6228"/>
          <w:sz w:val="28"/>
          <w:szCs w:val="18"/>
        </w:rPr>
        <w:t xml:space="preserve">Η </w:t>
      </w:r>
      <w:r w:rsidRPr="00C07028">
        <w:rPr>
          <w:rFonts w:ascii="Aptos" w:hAnsi="Aptos"/>
          <w:b/>
          <w:color w:val="4F6228"/>
          <w:sz w:val="28"/>
          <w:szCs w:val="18"/>
        </w:rPr>
        <w:t xml:space="preserve">ισχυρή κερδοφορία α’ εξαμήνου </w:t>
      </w:r>
      <w:r>
        <w:rPr>
          <w:rFonts w:ascii="Aptos" w:hAnsi="Aptos"/>
          <w:b/>
          <w:color w:val="4F6228"/>
          <w:sz w:val="28"/>
          <w:szCs w:val="18"/>
        </w:rPr>
        <w:t xml:space="preserve">και ένα αυξανόμενο ανεκτέλεστο παραγγελιών οδηγούν σε αναβάθμιση των </w:t>
      </w:r>
      <w:r w:rsidRPr="00C07028">
        <w:rPr>
          <w:rFonts w:ascii="Aptos" w:hAnsi="Aptos"/>
          <w:b/>
          <w:color w:val="4F6228"/>
          <w:sz w:val="28"/>
          <w:szCs w:val="18"/>
        </w:rPr>
        <w:t>εκτιμήσεων για το 2026</w:t>
      </w:r>
    </w:p>
    <w:p w14:paraId="6928928A" w14:textId="77777777" w:rsidR="001F02BF" w:rsidRPr="001B3514" w:rsidRDefault="001F02BF" w:rsidP="005E0EB8">
      <w:pPr>
        <w:spacing w:after="120" w:line="240" w:lineRule="auto"/>
        <w:rPr>
          <w:rFonts w:ascii="Aptos" w:hAnsi="Aptos"/>
        </w:rPr>
      </w:pPr>
    </w:p>
    <w:p w14:paraId="7EE86C7A" w14:textId="700E2183" w:rsidR="00640AA9" w:rsidRPr="009A56CF" w:rsidRDefault="00DF0C55" w:rsidP="00923930">
      <w:pPr>
        <w:spacing w:after="120" w:line="240" w:lineRule="auto"/>
        <w:jc w:val="both"/>
        <w:rPr>
          <w:rFonts w:ascii="Aptos" w:eastAsia="SimSun" w:hAnsi="Aptos" w:cs="Calibri"/>
          <w:b/>
          <w:bCs/>
          <w:color w:val="4F6228"/>
          <w:sz w:val="24"/>
          <w:szCs w:val="24"/>
        </w:rPr>
      </w:pPr>
      <w:r w:rsidRPr="009A56CF">
        <w:rPr>
          <w:rFonts w:ascii="Aptos" w:eastAsia="SimSun" w:hAnsi="Aptos" w:cs="Calibri"/>
          <w:b/>
          <w:bCs/>
          <w:color w:val="4F6228"/>
          <w:sz w:val="24"/>
          <w:szCs w:val="24"/>
        </w:rPr>
        <w:t>Συνοπτικά</w:t>
      </w:r>
    </w:p>
    <w:p w14:paraId="752D3829" w14:textId="3CDEBFD6" w:rsidR="00DF0C55" w:rsidRPr="0010732A" w:rsidRDefault="00D84882" w:rsidP="005E0EB8">
      <w:pPr>
        <w:pStyle w:val="ListBullet"/>
        <w:tabs>
          <w:tab w:val="num" w:pos="360"/>
        </w:tabs>
        <w:spacing w:after="120" w:line="240" w:lineRule="auto"/>
        <w:ind w:left="360" w:hanging="360"/>
        <w:jc w:val="both"/>
        <w:rPr>
          <w:sz w:val="22"/>
          <w:lang w:val="el-GR"/>
        </w:rPr>
      </w:pPr>
      <w:r>
        <w:rPr>
          <w:sz w:val="22"/>
          <w:lang w:val="el-GR"/>
        </w:rPr>
        <w:t>Κ</w:t>
      </w:r>
      <w:r w:rsidRPr="0010732A">
        <w:rPr>
          <w:sz w:val="22"/>
          <w:lang w:val="el-GR"/>
        </w:rPr>
        <w:t>ατά το α’ εξάμηνο του 2026</w:t>
      </w:r>
      <w:r>
        <w:rPr>
          <w:sz w:val="22"/>
          <w:lang w:val="el-GR"/>
        </w:rPr>
        <w:t>, ο</w:t>
      </w:r>
      <w:r w:rsidR="00DF0C55" w:rsidRPr="0010732A">
        <w:rPr>
          <w:sz w:val="22"/>
          <w:lang w:val="el-GR"/>
        </w:rPr>
        <w:t xml:space="preserve">ι </w:t>
      </w:r>
      <w:r w:rsidR="00DF0C55" w:rsidRPr="0010732A">
        <w:rPr>
          <w:b/>
          <w:bCs/>
          <w:sz w:val="22"/>
          <w:lang w:val="el-GR"/>
        </w:rPr>
        <w:t xml:space="preserve">πωλήσεις </w:t>
      </w:r>
      <w:r w:rsidR="00DF0C55" w:rsidRPr="0010732A">
        <w:rPr>
          <w:sz w:val="22"/>
          <w:lang w:val="el-GR"/>
        </w:rPr>
        <w:t>ανήλθαν σε</w:t>
      </w:r>
      <w:r w:rsidR="00DF0C55" w:rsidRPr="0010732A">
        <w:rPr>
          <w:b/>
          <w:bCs/>
          <w:sz w:val="22"/>
          <w:lang w:val="el-GR"/>
        </w:rPr>
        <w:t xml:space="preserve"> 1,15 δισ. ευρώ, αυξημένες κατά 13%</w:t>
      </w:r>
      <w:r w:rsidR="00DF0C55" w:rsidRPr="0010732A">
        <w:rPr>
          <w:sz w:val="22"/>
          <w:lang w:val="el-GR"/>
        </w:rPr>
        <w:t xml:space="preserve"> σε ετήσια βάση, με ισχυρή ανάπτυξη και στους δύο τομείς.</w:t>
      </w:r>
    </w:p>
    <w:p w14:paraId="49EB1977" w14:textId="0DDF65F7" w:rsidR="00DF0C55" w:rsidRPr="00DF0C55" w:rsidRDefault="00DF0C55" w:rsidP="005E0EB8">
      <w:pPr>
        <w:pStyle w:val="ListBullet"/>
        <w:tabs>
          <w:tab w:val="num" w:pos="360"/>
        </w:tabs>
        <w:spacing w:after="120" w:line="240" w:lineRule="auto"/>
        <w:ind w:left="360" w:hanging="360"/>
        <w:jc w:val="both"/>
        <w:rPr>
          <w:bCs/>
          <w:sz w:val="22"/>
          <w:lang w:val="el-GR"/>
        </w:rPr>
      </w:pPr>
      <w:r w:rsidRPr="00DF0C55">
        <w:rPr>
          <w:rFonts w:eastAsia="SimSun" w:cs="Calibri"/>
          <w:bCs/>
          <w:sz w:val="22"/>
          <w:lang w:val="el-GR"/>
        </w:rPr>
        <w:t xml:space="preserve">Το </w:t>
      </w:r>
      <w:r w:rsidRPr="00DF0C55">
        <w:rPr>
          <w:rFonts w:eastAsia="SimSun" w:cs="Calibri"/>
          <w:b/>
          <w:sz w:val="22"/>
          <w:lang w:val="el-GR"/>
        </w:rPr>
        <w:t xml:space="preserve">αναπροσαρμοσμένο </w:t>
      </w:r>
      <w:r w:rsidRPr="00DF0C55">
        <w:rPr>
          <w:rFonts w:eastAsia="SimSun" w:cs="Calibri"/>
          <w:b/>
          <w:sz w:val="22"/>
          <w:lang w:val="en-GB"/>
        </w:rPr>
        <w:t>EBITDA</w:t>
      </w:r>
      <w:r w:rsidRPr="001F02BF">
        <w:rPr>
          <w:rStyle w:val="FootnoteReference"/>
          <w:rFonts w:eastAsia="SimSun" w:cs="Calibri"/>
          <w:bCs/>
          <w:sz w:val="22"/>
          <w:lang w:val="en-GB"/>
        </w:rPr>
        <w:footnoteReference w:id="2"/>
      </w:r>
      <w:r w:rsidRPr="001F02BF">
        <w:rPr>
          <w:rFonts w:eastAsia="SimSun" w:cs="Calibri"/>
          <w:bCs/>
          <w:sz w:val="22"/>
          <w:lang w:val="el-GR"/>
        </w:rPr>
        <w:t xml:space="preserve"> </w:t>
      </w:r>
      <w:r w:rsidR="00A81FD9" w:rsidRPr="00353480">
        <w:rPr>
          <w:rFonts w:eastAsia="SimSun" w:cs="Calibri"/>
          <w:bCs/>
          <w:sz w:val="22"/>
          <w:lang w:val="el-GR"/>
        </w:rPr>
        <w:t>(</w:t>
      </w:r>
      <w:r w:rsidR="003C1469">
        <w:rPr>
          <w:rFonts w:eastAsia="SimSun" w:cs="Calibri"/>
          <w:bCs/>
          <w:sz w:val="22"/>
          <w:lang w:val="el-GR"/>
        </w:rPr>
        <w:t>α</w:t>
      </w:r>
      <w:r w:rsidR="00A81FD9" w:rsidRPr="00353480">
        <w:rPr>
          <w:rFonts w:eastAsia="SimSun" w:cs="Calibri"/>
          <w:bCs/>
          <w:sz w:val="22"/>
          <w:lang w:val="el-GR"/>
        </w:rPr>
        <w:t>-</w:t>
      </w:r>
      <w:r w:rsidR="00A81FD9">
        <w:rPr>
          <w:rFonts w:eastAsia="SimSun" w:cs="Calibri"/>
          <w:bCs/>
          <w:sz w:val="22"/>
        </w:rPr>
        <w:t>EBITDA</w:t>
      </w:r>
      <w:r w:rsidR="00A81FD9" w:rsidRPr="00353480">
        <w:rPr>
          <w:rFonts w:eastAsia="SimSun" w:cs="Calibri"/>
          <w:bCs/>
          <w:sz w:val="22"/>
          <w:lang w:val="el-GR"/>
        </w:rPr>
        <w:t xml:space="preserve">) </w:t>
      </w:r>
      <w:r w:rsidRPr="00DF0C55">
        <w:rPr>
          <w:rFonts w:eastAsia="SimSun" w:cs="Calibri"/>
          <w:bCs/>
          <w:sz w:val="22"/>
          <w:lang w:val="el-GR"/>
        </w:rPr>
        <w:t>αυξήθηκε κατά</w:t>
      </w:r>
      <w:r w:rsidRPr="00DF0C55">
        <w:rPr>
          <w:rFonts w:eastAsia="SimSun" w:cs="Calibri"/>
          <w:b/>
          <w:sz w:val="22"/>
          <w:lang w:val="el-GR"/>
        </w:rPr>
        <w:t xml:space="preserve"> 26% </w:t>
      </w:r>
      <w:r w:rsidRPr="00DF0C55">
        <w:rPr>
          <w:rFonts w:eastAsia="SimSun" w:cs="Calibri"/>
          <w:bCs/>
          <w:sz w:val="22"/>
          <w:lang w:val="el-GR"/>
        </w:rPr>
        <w:t>και διαμορφώθηκε σε</w:t>
      </w:r>
      <w:r w:rsidRPr="00DF0C55">
        <w:rPr>
          <w:rFonts w:eastAsia="SimSun" w:cs="Calibri"/>
          <w:b/>
          <w:sz w:val="22"/>
          <w:lang w:val="el-GR"/>
        </w:rPr>
        <w:t xml:space="preserve"> 216 εκατ. ευρώ</w:t>
      </w:r>
      <w:r w:rsidRPr="00F23C14">
        <w:rPr>
          <w:rFonts w:eastAsia="SimSun" w:cs="Calibri"/>
          <w:bCs/>
          <w:sz w:val="22"/>
          <w:lang w:val="el-GR"/>
        </w:rPr>
        <w:t>,</w:t>
      </w:r>
      <w:r w:rsidRPr="00DF0C55">
        <w:rPr>
          <w:rFonts w:eastAsia="SimSun" w:cs="Calibri"/>
          <w:b/>
          <w:sz w:val="22"/>
          <w:lang w:val="el-GR"/>
        </w:rPr>
        <w:t xml:space="preserve"> </w:t>
      </w:r>
      <w:r w:rsidRPr="00DF0C55">
        <w:rPr>
          <w:rFonts w:eastAsia="SimSun" w:cs="Calibri"/>
          <w:bCs/>
          <w:sz w:val="22"/>
          <w:lang w:val="el-GR"/>
        </w:rPr>
        <w:t xml:space="preserve">με το αντίστοιχο περιθώριο </w:t>
      </w:r>
      <w:r w:rsidR="00C5113A">
        <w:rPr>
          <w:rFonts w:eastAsia="SimSun" w:cs="Calibri"/>
          <w:bCs/>
          <w:sz w:val="22"/>
          <w:lang w:val="el-GR"/>
        </w:rPr>
        <w:t xml:space="preserve">κέρδους </w:t>
      </w:r>
      <w:r w:rsidRPr="00DF0C55">
        <w:rPr>
          <w:rFonts w:eastAsia="SimSun" w:cs="Calibri"/>
          <w:bCs/>
          <w:sz w:val="22"/>
          <w:lang w:val="el-GR"/>
        </w:rPr>
        <w:t xml:space="preserve">να ανέρχεται σε </w:t>
      </w:r>
      <w:r w:rsidRPr="00DF0C55">
        <w:rPr>
          <w:rFonts w:eastAsia="SimSun" w:cs="Calibri"/>
          <w:b/>
          <w:sz w:val="22"/>
          <w:lang w:val="el-GR"/>
        </w:rPr>
        <w:t>18,7%</w:t>
      </w:r>
      <w:r w:rsidRPr="00DF0C55">
        <w:rPr>
          <w:rFonts w:eastAsia="SimSun" w:cs="Calibri"/>
          <w:bCs/>
          <w:sz w:val="22"/>
          <w:lang w:val="el-GR"/>
        </w:rPr>
        <w:t xml:space="preserve"> χάρη σ</w:t>
      </w:r>
      <w:r w:rsidR="00D84882" w:rsidRPr="00DF0C55">
        <w:rPr>
          <w:rFonts w:eastAsia="SimSun" w:cs="Calibri"/>
          <w:bCs/>
          <w:sz w:val="22"/>
          <w:lang w:val="el-GR"/>
        </w:rPr>
        <w:t xml:space="preserve">το </w:t>
      </w:r>
      <w:r w:rsidR="00D84882">
        <w:rPr>
          <w:rFonts w:eastAsia="SimSun" w:cs="Calibri"/>
          <w:bCs/>
          <w:sz w:val="22"/>
          <w:lang w:val="el-GR"/>
        </w:rPr>
        <w:t>βελτιωμένο</w:t>
      </w:r>
      <w:r w:rsidR="00D84882" w:rsidRPr="00DF0C55">
        <w:rPr>
          <w:rFonts w:eastAsia="SimSun" w:cs="Calibri"/>
          <w:bCs/>
          <w:sz w:val="22"/>
          <w:lang w:val="el-GR"/>
        </w:rPr>
        <w:t xml:space="preserve"> μείγμα </w:t>
      </w:r>
      <w:r w:rsidR="00D84882">
        <w:rPr>
          <w:rFonts w:eastAsia="SimSun" w:cs="Calibri"/>
          <w:bCs/>
          <w:sz w:val="22"/>
          <w:lang w:val="el-GR"/>
        </w:rPr>
        <w:t>πωλήσεων</w:t>
      </w:r>
      <w:r w:rsidR="00D84882" w:rsidRPr="00DF0C55">
        <w:rPr>
          <w:rFonts w:eastAsia="SimSun" w:cs="Calibri"/>
          <w:bCs/>
          <w:sz w:val="22"/>
          <w:lang w:val="el-GR"/>
        </w:rPr>
        <w:t xml:space="preserve"> </w:t>
      </w:r>
      <w:r w:rsidR="00D84882">
        <w:rPr>
          <w:rFonts w:eastAsia="SimSun" w:cs="Calibri"/>
          <w:bCs/>
          <w:sz w:val="22"/>
          <w:lang w:val="el-GR"/>
        </w:rPr>
        <w:t xml:space="preserve">και την ομαλή </w:t>
      </w:r>
      <w:r w:rsidRPr="00DF0C55">
        <w:rPr>
          <w:rFonts w:eastAsia="SimSun" w:cs="Calibri"/>
          <w:bCs/>
          <w:sz w:val="22"/>
          <w:lang w:val="el-GR"/>
        </w:rPr>
        <w:t>εκτέλεση των έργων.</w:t>
      </w:r>
    </w:p>
    <w:p w14:paraId="339662CF" w14:textId="3960BEB4" w:rsidR="00FC5CF5" w:rsidRPr="00DF0C55" w:rsidRDefault="00DF0C55" w:rsidP="005E0EB8">
      <w:pPr>
        <w:pStyle w:val="ListBullet"/>
        <w:tabs>
          <w:tab w:val="num" w:pos="360"/>
        </w:tabs>
        <w:spacing w:after="120" w:line="240" w:lineRule="auto"/>
        <w:ind w:left="360" w:hanging="360"/>
        <w:jc w:val="both"/>
        <w:rPr>
          <w:sz w:val="22"/>
          <w:lang w:val="el-GR"/>
        </w:rPr>
      </w:pPr>
      <w:r w:rsidRPr="00DF0C55">
        <w:rPr>
          <w:sz w:val="22"/>
          <w:lang w:val="el-GR"/>
        </w:rPr>
        <w:t xml:space="preserve">Τα </w:t>
      </w:r>
      <w:r w:rsidRPr="00DF0C55">
        <w:rPr>
          <w:b/>
          <w:bCs/>
          <w:sz w:val="22"/>
          <w:lang w:val="el-GR"/>
        </w:rPr>
        <w:t xml:space="preserve">κέρδη προ φόρων </w:t>
      </w:r>
      <w:r w:rsidRPr="00DF0C55">
        <w:rPr>
          <w:sz w:val="22"/>
          <w:lang w:val="el-GR"/>
        </w:rPr>
        <w:t>αυξήθηκαν κατά</w:t>
      </w:r>
      <w:r w:rsidRPr="00DF0C55">
        <w:rPr>
          <w:b/>
          <w:bCs/>
          <w:sz w:val="22"/>
          <w:lang w:val="el-GR"/>
        </w:rPr>
        <w:t xml:space="preserve"> 43%, </w:t>
      </w:r>
      <w:r w:rsidRPr="00C20F2D">
        <w:rPr>
          <w:sz w:val="22"/>
          <w:lang w:val="el-GR"/>
        </w:rPr>
        <w:t xml:space="preserve">φθάνοντας </w:t>
      </w:r>
      <w:r w:rsidRPr="00DF0C55">
        <w:rPr>
          <w:b/>
          <w:bCs/>
          <w:sz w:val="22"/>
          <w:lang w:val="el-GR"/>
        </w:rPr>
        <w:t xml:space="preserve">τα 177 εκατ. ευρώ, </w:t>
      </w:r>
      <w:r w:rsidRPr="00DF0C55">
        <w:rPr>
          <w:sz w:val="22"/>
          <w:lang w:val="el-GR"/>
        </w:rPr>
        <w:t>ενώ τα</w:t>
      </w:r>
      <w:r w:rsidRPr="00DF0C55">
        <w:rPr>
          <w:b/>
          <w:bCs/>
          <w:sz w:val="22"/>
          <w:lang w:val="el-GR"/>
        </w:rPr>
        <w:t xml:space="preserve"> καθαρά κέρδη μετά από φόρους </w:t>
      </w:r>
      <w:r w:rsidRPr="00DF0C55">
        <w:rPr>
          <w:sz w:val="22"/>
          <w:lang w:val="el-GR"/>
        </w:rPr>
        <w:t>ανήλθαν σε</w:t>
      </w:r>
      <w:r w:rsidRPr="00DF0C55">
        <w:rPr>
          <w:b/>
          <w:bCs/>
          <w:sz w:val="22"/>
          <w:lang w:val="el-GR"/>
        </w:rPr>
        <w:t xml:space="preserve"> 138 εκατ. ευρώ</w:t>
      </w:r>
      <w:r w:rsidRPr="00F23C14">
        <w:rPr>
          <w:sz w:val="22"/>
          <w:lang w:val="el-GR"/>
        </w:rPr>
        <w:t>,</w:t>
      </w:r>
      <w:r w:rsidRPr="00DF0C55">
        <w:rPr>
          <w:b/>
          <w:bCs/>
          <w:sz w:val="22"/>
          <w:lang w:val="el-GR"/>
        </w:rPr>
        <w:t xml:space="preserve"> </w:t>
      </w:r>
      <w:r w:rsidRPr="00DF0C55">
        <w:rPr>
          <w:sz w:val="22"/>
          <w:lang w:val="el-GR"/>
        </w:rPr>
        <w:t>αυξημένα κατά 45% σε σχέση με το α’ εξάμηνο του 2025</w:t>
      </w:r>
      <w:r w:rsidR="00FC5CF5" w:rsidRPr="00DF0C55">
        <w:rPr>
          <w:sz w:val="22"/>
          <w:lang w:val="el-GR"/>
        </w:rPr>
        <w:t>.</w:t>
      </w:r>
    </w:p>
    <w:p w14:paraId="2B59784A" w14:textId="6F245939" w:rsidR="00FC5CF5" w:rsidRPr="00DF0C55" w:rsidRDefault="00DF0C55" w:rsidP="005E0EB8">
      <w:pPr>
        <w:pStyle w:val="ListBullet"/>
        <w:tabs>
          <w:tab w:val="num" w:pos="360"/>
        </w:tabs>
        <w:spacing w:after="120" w:line="240" w:lineRule="auto"/>
        <w:ind w:left="360" w:hanging="360"/>
        <w:jc w:val="both"/>
        <w:rPr>
          <w:sz w:val="22"/>
          <w:lang w:val="el-GR"/>
        </w:rPr>
      </w:pPr>
      <w:r w:rsidRPr="00DF0C55">
        <w:rPr>
          <w:sz w:val="22"/>
          <w:lang w:val="el-GR"/>
        </w:rPr>
        <w:t xml:space="preserve">Το </w:t>
      </w:r>
      <w:r w:rsidRPr="00DF0C55">
        <w:rPr>
          <w:b/>
          <w:bCs/>
          <w:sz w:val="22"/>
          <w:lang w:val="el-GR"/>
        </w:rPr>
        <w:t>ανεκτέλεστο υπόλοιπο παραγγελιών</w:t>
      </w:r>
      <w:r w:rsidRPr="00BE5E19">
        <w:rPr>
          <w:rStyle w:val="FootnoteReference"/>
          <w:rFonts w:eastAsia="SimSun" w:cs="Calibri"/>
          <w:bCs/>
          <w:sz w:val="22"/>
          <w:lang w:val="en-GB"/>
        </w:rPr>
        <w:footnoteReference w:id="3"/>
      </w:r>
      <w:r w:rsidRPr="00F23C14">
        <w:rPr>
          <w:rFonts w:eastAsia="SimSun" w:cs="Calibri"/>
          <w:b/>
          <w:sz w:val="22"/>
          <w:lang w:val="el-GR"/>
        </w:rPr>
        <w:t xml:space="preserve"> </w:t>
      </w:r>
      <w:r w:rsidRPr="00F23C14">
        <w:rPr>
          <w:sz w:val="22"/>
          <w:lang w:val="el-GR"/>
        </w:rPr>
        <w:t xml:space="preserve">διαμορφώθηκε σε νέο ιστορικά υψηλό επίπεδο, περίπου </w:t>
      </w:r>
      <w:r w:rsidRPr="00DF0C55">
        <w:rPr>
          <w:b/>
          <w:bCs/>
          <w:sz w:val="22"/>
          <w:lang w:val="el-GR"/>
        </w:rPr>
        <w:t>3,9 δισ. ευρώ</w:t>
      </w:r>
      <w:r w:rsidRPr="00F23C14">
        <w:rPr>
          <w:sz w:val="22"/>
          <w:lang w:val="el-GR"/>
        </w:rPr>
        <w:t>.</w:t>
      </w:r>
    </w:p>
    <w:p w14:paraId="1F26D4D2" w14:textId="4B3C7EDC" w:rsidR="00FC5CF5" w:rsidRPr="00F23C14" w:rsidRDefault="00F23C14" w:rsidP="005E0EB8">
      <w:pPr>
        <w:pStyle w:val="ListBullet"/>
        <w:tabs>
          <w:tab w:val="num" w:pos="360"/>
        </w:tabs>
        <w:spacing w:after="120" w:line="240" w:lineRule="auto"/>
        <w:ind w:left="360" w:hanging="360"/>
        <w:jc w:val="both"/>
        <w:rPr>
          <w:sz w:val="22"/>
          <w:lang w:val="el-GR"/>
        </w:rPr>
      </w:pPr>
      <w:r w:rsidRPr="00F23C14">
        <w:rPr>
          <w:sz w:val="22"/>
          <w:lang w:val="el-GR"/>
        </w:rPr>
        <w:t xml:space="preserve">Η ισχυρή επίδοση του πρώτου εξαμήνου οδηγεί σε αναβάθμιση της εκτίμησης για το </w:t>
      </w:r>
      <w:r w:rsidRPr="00F23C14">
        <w:rPr>
          <w:b/>
          <w:bCs/>
          <w:sz w:val="22"/>
          <w:lang w:val="el-GR"/>
        </w:rPr>
        <w:t xml:space="preserve">αναπροσαρμοσμένο </w:t>
      </w:r>
      <w:r w:rsidRPr="00F23C14">
        <w:rPr>
          <w:b/>
          <w:bCs/>
          <w:sz w:val="22"/>
        </w:rPr>
        <w:t>EBITDA</w:t>
      </w:r>
      <w:r w:rsidRPr="00F23C14">
        <w:rPr>
          <w:b/>
          <w:bCs/>
          <w:sz w:val="22"/>
          <w:lang w:val="el-GR"/>
        </w:rPr>
        <w:t xml:space="preserve"> του οικονομικού έτους 2026, το οποίο αναμένεται πλέον να κυμανθεί μεταξύ 390 και 420 εκατ. ευρώ</w:t>
      </w:r>
      <w:r w:rsidRPr="00F23C14">
        <w:rPr>
          <w:sz w:val="22"/>
          <w:lang w:val="el-GR"/>
        </w:rPr>
        <w:t>.</w:t>
      </w:r>
    </w:p>
    <w:p w14:paraId="3CF093A0" w14:textId="77777777" w:rsidR="002C410C" w:rsidRPr="00F23C14" w:rsidRDefault="002C410C" w:rsidP="005E0EB8">
      <w:pPr>
        <w:spacing w:after="120" w:line="240" w:lineRule="auto"/>
        <w:jc w:val="both"/>
        <w:rPr>
          <w:rFonts w:ascii="Aptos" w:hAnsi="Aptos"/>
        </w:rPr>
      </w:pPr>
    </w:p>
    <w:p w14:paraId="402BE901" w14:textId="77777777" w:rsidR="00F23C14" w:rsidRDefault="00F23C14" w:rsidP="00923930">
      <w:pPr>
        <w:spacing w:after="120" w:line="240" w:lineRule="auto"/>
        <w:jc w:val="both"/>
        <w:rPr>
          <w:rFonts w:ascii="Aptos" w:hAnsi="Aptos" w:cs="Calibri"/>
        </w:rPr>
      </w:pPr>
      <w:bookmarkStart w:id="1" w:name="_Hlk3375753"/>
      <w:bookmarkEnd w:id="0"/>
      <w:r w:rsidRPr="00F23C14">
        <w:rPr>
          <w:rFonts w:ascii="Aptos" w:hAnsi="Aptos" w:cs="Calibri"/>
        </w:rPr>
        <w:t xml:space="preserve">Σχολιάζοντας τις επιδόσεις του Ομίλου, ο κ. Αλέξης Αλεξίου, Διευθύνων Σύμβουλος της </w:t>
      </w:r>
      <w:r w:rsidRPr="00F23C14">
        <w:rPr>
          <w:rFonts w:ascii="Aptos" w:hAnsi="Aptos" w:cs="Calibri"/>
          <w:lang w:val="en-GB"/>
        </w:rPr>
        <w:t>Cenergy</w:t>
      </w:r>
      <w:r w:rsidRPr="00F23C14">
        <w:rPr>
          <w:rFonts w:ascii="Aptos" w:hAnsi="Aptos" w:cs="Calibri"/>
        </w:rPr>
        <w:t xml:space="preserve"> </w:t>
      </w:r>
      <w:r w:rsidRPr="00F23C14">
        <w:rPr>
          <w:rFonts w:ascii="Aptos" w:hAnsi="Aptos" w:cs="Calibri"/>
          <w:lang w:val="en-GB"/>
        </w:rPr>
        <w:t>Holdings</w:t>
      </w:r>
      <w:r w:rsidRPr="00F23C14">
        <w:rPr>
          <w:rFonts w:ascii="Aptos" w:hAnsi="Aptos" w:cs="Calibri"/>
        </w:rPr>
        <w:t xml:space="preserve">, δήλωσε: </w:t>
      </w:r>
    </w:p>
    <w:p w14:paraId="192DF368" w14:textId="7A6D071C" w:rsidR="0030155B" w:rsidRPr="00F23C14" w:rsidRDefault="00F23C14" w:rsidP="00923930">
      <w:pPr>
        <w:spacing w:after="120" w:line="240" w:lineRule="auto"/>
        <w:jc w:val="both"/>
        <w:rPr>
          <w:rFonts w:ascii="Aptos" w:hAnsi="Aptos"/>
          <w:b/>
          <w:sz w:val="20"/>
        </w:rPr>
      </w:pPr>
      <w:r w:rsidRPr="00F23C14">
        <w:rPr>
          <w:rFonts w:ascii="Aptos" w:hAnsi="Aptos"/>
          <w:i/>
        </w:rPr>
        <w:t xml:space="preserve">«Το πρώτο εξάμηνο του 2026 αποτέλεσε ακόμη ένα σημαντικό βήμα προόδου για τη </w:t>
      </w:r>
      <w:r w:rsidRPr="00F23C14">
        <w:rPr>
          <w:rFonts w:ascii="Aptos" w:hAnsi="Aptos"/>
          <w:i/>
          <w:lang w:val="en-US"/>
        </w:rPr>
        <w:t>Cenergy</w:t>
      </w:r>
      <w:r w:rsidRPr="00F23C14">
        <w:rPr>
          <w:rFonts w:ascii="Aptos" w:hAnsi="Aptos"/>
          <w:i/>
        </w:rPr>
        <w:t xml:space="preserve"> </w:t>
      </w:r>
      <w:r w:rsidRPr="00F23C14">
        <w:rPr>
          <w:rFonts w:ascii="Aptos" w:hAnsi="Aptos"/>
          <w:i/>
          <w:lang w:val="en-US"/>
        </w:rPr>
        <w:t>Holdings</w:t>
      </w:r>
      <w:r w:rsidRPr="00F23C14">
        <w:rPr>
          <w:rFonts w:ascii="Aptos" w:hAnsi="Aptos"/>
          <w:i/>
        </w:rPr>
        <w:t xml:space="preserve">. </w:t>
      </w:r>
      <w:r w:rsidR="002E6A7B">
        <w:rPr>
          <w:rFonts w:ascii="Aptos" w:hAnsi="Aptos"/>
          <w:i/>
        </w:rPr>
        <w:t>Μετα</w:t>
      </w:r>
      <w:r w:rsidR="00F207BC">
        <w:rPr>
          <w:rFonts w:ascii="Aptos" w:hAnsi="Aptos"/>
          <w:i/>
        </w:rPr>
        <w:t>τ</w:t>
      </w:r>
      <w:r w:rsidR="002E6A7B">
        <w:rPr>
          <w:rFonts w:ascii="Aptos" w:hAnsi="Aptos"/>
          <w:i/>
        </w:rPr>
        <w:t>ρέψαμε</w:t>
      </w:r>
      <w:r w:rsidR="0065520D" w:rsidRPr="0065520D">
        <w:rPr>
          <w:rFonts w:ascii="Aptos" w:hAnsi="Aptos"/>
          <w:i/>
        </w:rPr>
        <w:t xml:space="preserve"> το</w:t>
      </w:r>
      <w:r w:rsidR="005C7BEE">
        <w:rPr>
          <w:rFonts w:ascii="Aptos" w:hAnsi="Aptos"/>
          <w:i/>
          <w:lang w:val="fr-FR"/>
        </w:rPr>
        <w:t xml:space="preserve"> </w:t>
      </w:r>
      <w:r w:rsidR="005C7BEE">
        <w:rPr>
          <w:rFonts w:ascii="Aptos" w:hAnsi="Aptos"/>
          <w:i/>
        </w:rPr>
        <w:t xml:space="preserve">ήδη </w:t>
      </w:r>
      <w:r w:rsidR="0065520D" w:rsidRPr="0065520D">
        <w:rPr>
          <w:rFonts w:ascii="Aptos" w:hAnsi="Aptos"/>
          <w:i/>
        </w:rPr>
        <w:t xml:space="preserve">ισχυρό ανεκτέλεστο </w:t>
      </w:r>
      <w:r w:rsidR="00A81FD9" w:rsidRPr="00F23C14">
        <w:rPr>
          <w:rFonts w:ascii="Aptos" w:hAnsi="Aptos"/>
          <w:i/>
        </w:rPr>
        <w:t xml:space="preserve">υπόλοιπο παραγγελιών </w:t>
      </w:r>
      <w:r w:rsidR="002E6A7B">
        <w:rPr>
          <w:rFonts w:ascii="Aptos" w:hAnsi="Aptos"/>
          <w:i/>
        </w:rPr>
        <w:t xml:space="preserve">σε </w:t>
      </w:r>
      <w:r w:rsidR="0065520D" w:rsidRPr="0065520D">
        <w:rPr>
          <w:rFonts w:ascii="Aptos" w:hAnsi="Aptos"/>
          <w:i/>
        </w:rPr>
        <w:t xml:space="preserve">ιδιαίτερα ικανοποιητικές επιδόσεις, </w:t>
      </w:r>
      <w:r w:rsidR="00F207BC">
        <w:rPr>
          <w:rFonts w:ascii="Aptos" w:hAnsi="Aptos"/>
          <w:i/>
        </w:rPr>
        <w:t>παραμένοντας</w:t>
      </w:r>
      <w:r w:rsidR="0065520D" w:rsidRPr="0065520D">
        <w:rPr>
          <w:rFonts w:ascii="Aptos" w:hAnsi="Aptos"/>
          <w:i/>
        </w:rPr>
        <w:t xml:space="preserve"> επιλεκτικοί και πειθαρχημένοι στην ανάληψη και εκτέλεση </w:t>
      </w:r>
      <w:r w:rsidR="00C5113A">
        <w:rPr>
          <w:rFonts w:ascii="Aptos" w:hAnsi="Aptos"/>
          <w:i/>
        </w:rPr>
        <w:t xml:space="preserve">ενεργειακών </w:t>
      </w:r>
      <w:r w:rsidR="0065520D" w:rsidRPr="0065520D">
        <w:rPr>
          <w:rFonts w:ascii="Aptos" w:hAnsi="Aptos"/>
          <w:i/>
        </w:rPr>
        <w:t>έργων</w:t>
      </w:r>
      <w:r w:rsidRPr="00F23C14">
        <w:rPr>
          <w:rFonts w:ascii="Aptos" w:hAnsi="Aptos"/>
          <w:i/>
        </w:rPr>
        <w:t xml:space="preserve">. </w:t>
      </w:r>
      <w:r w:rsidR="00F207BC">
        <w:rPr>
          <w:rFonts w:ascii="Aptos" w:hAnsi="Aptos"/>
          <w:i/>
        </w:rPr>
        <w:t xml:space="preserve"> </w:t>
      </w:r>
      <w:r w:rsidRPr="00F23C14">
        <w:rPr>
          <w:rFonts w:ascii="Aptos" w:hAnsi="Aptos"/>
          <w:i/>
        </w:rPr>
        <w:t xml:space="preserve">Και οι δύο τομείς στήριξαν την αύξηση της κερδοφορίας, ενώ η ανάθεση της συμφωνίας-πλαισίου </w:t>
      </w:r>
      <w:r w:rsidR="00C5113A">
        <w:rPr>
          <w:rFonts w:ascii="Aptos" w:hAnsi="Aptos"/>
          <w:i/>
        </w:rPr>
        <w:t>από τον</w:t>
      </w:r>
      <w:r w:rsidRPr="00F23C14">
        <w:rPr>
          <w:rFonts w:ascii="Aptos" w:hAnsi="Aptos"/>
          <w:i/>
        </w:rPr>
        <w:t xml:space="preserve"> ΑΔΜΗΕ, η μεγαλύτερη στην ιστορία μας, οδήγησε το ανεκτέλεστο σε νέα ιστορικά υψηλά επίπεδα, </w:t>
      </w:r>
      <w:r w:rsidR="009A62A5">
        <w:rPr>
          <w:rFonts w:ascii="Aptos" w:hAnsi="Aptos"/>
          <w:i/>
        </w:rPr>
        <w:t xml:space="preserve">με </w:t>
      </w:r>
      <w:r w:rsidR="009A62A5" w:rsidRPr="00C5113A">
        <w:rPr>
          <w:rFonts w:ascii="Aptos" w:hAnsi="Aptos"/>
          <w:i/>
        </w:rPr>
        <w:t>αναθέσεις έργων που πλέον εκτείνονται και μετά το 2030</w:t>
      </w:r>
      <w:r w:rsidR="00A25E0E" w:rsidRPr="00F23C14">
        <w:rPr>
          <w:rFonts w:ascii="Aptos" w:hAnsi="Aptos"/>
          <w:i/>
        </w:rPr>
        <w:t>.</w:t>
      </w:r>
    </w:p>
    <w:p w14:paraId="7B527FCE" w14:textId="7A14D3E8" w:rsidR="0030155B" w:rsidRDefault="00F23C14" w:rsidP="00923930">
      <w:pPr>
        <w:spacing w:after="120" w:line="240" w:lineRule="auto"/>
        <w:jc w:val="both"/>
        <w:rPr>
          <w:rFonts w:ascii="Aptos" w:hAnsi="Aptos"/>
          <w:i/>
        </w:rPr>
      </w:pPr>
      <w:r w:rsidRPr="00F23C14">
        <w:rPr>
          <w:rFonts w:ascii="Aptos" w:hAnsi="Aptos"/>
          <w:i/>
          <w:iCs/>
        </w:rPr>
        <w:t xml:space="preserve">Παράλληλα, θέτουμε τα θεμέλια της επόμενης αναπτυξιακής μας φάσης. Η νέα μονάδα παραγωγής χερσαίων καλωδίων στο </w:t>
      </w:r>
      <w:r w:rsidR="0065520D">
        <w:rPr>
          <w:rFonts w:ascii="Aptos" w:hAnsi="Aptos"/>
          <w:i/>
          <w:iCs/>
          <w:lang w:val="en-US"/>
        </w:rPr>
        <w:t>Maryland</w:t>
      </w:r>
      <w:r w:rsidR="00A81FD9" w:rsidRPr="00353480">
        <w:rPr>
          <w:rFonts w:ascii="Aptos" w:hAnsi="Aptos"/>
          <w:i/>
          <w:iCs/>
        </w:rPr>
        <w:t>,</w:t>
      </w:r>
      <w:r w:rsidR="00A81FD9">
        <w:rPr>
          <w:rFonts w:ascii="Aptos" w:hAnsi="Aptos"/>
          <w:i/>
          <w:iCs/>
        </w:rPr>
        <w:t xml:space="preserve"> ΗΠΑ</w:t>
      </w:r>
      <w:r w:rsidRPr="00F23C14">
        <w:rPr>
          <w:rFonts w:ascii="Aptos" w:hAnsi="Aptos"/>
          <w:i/>
          <w:iCs/>
        </w:rPr>
        <w:t xml:space="preserve"> θα </w:t>
      </w:r>
      <w:r w:rsidR="009A62A5">
        <w:rPr>
          <w:rFonts w:ascii="Aptos" w:hAnsi="Aptos"/>
          <w:i/>
          <w:iCs/>
        </w:rPr>
        <w:t xml:space="preserve">είναι </w:t>
      </w:r>
      <w:r w:rsidRPr="00F23C14">
        <w:rPr>
          <w:rFonts w:ascii="Aptos" w:hAnsi="Aptos"/>
          <w:i/>
          <w:iCs/>
        </w:rPr>
        <w:t xml:space="preserve">η βάση της παρουσίας μας στη Βόρεια Αμερική, μια αγορά όπου η αυξανόμενη ζήτηση ηλεκτρικής ενέργειας, η ενίσχυση των δικτύων και η ανάγκη ενεργειακής ασφάλειας αναδιαμορφώνουν τις επενδυτικές προτεραιότητες. </w:t>
      </w:r>
      <w:r w:rsidR="00641BF8">
        <w:rPr>
          <w:rFonts w:ascii="Aptos" w:hAnsi="Aptos"/>
          <w:i/>
          <w:iCs/>
        </w:rPr>
        <w:t xml:space="preserve"> </w:t>
      </w:r>
      <w:r w:rsidRPr="00F23C14">
        <w:rPr>
          <w:rFonts w:ascii="Aptos" w:hAnsi="Aptos"/>
          <w:i/>
          <w:iCs/>
        </w:rPr>
        <w:t xml:space="preserve">Την ίδια στιγμή, η νέα παραγωγική </w:t>
      </w:r>
      <w:r w:rsidR="00C5113A">
        <w:rPr>
          <w:rFonts w:ascii="Aptos" w:hAnsi="Aptos"/>
          <w:i/>
          <w:iCs/>
        </w:rPr>
        <w:t>μονάδα</w:t>
      </w:r>
      <w:r w:rsidRPr="00F23C14">
        <w:rPr>
          <w:rFonts w:ascii="Aptos" w:hAnsi="Aptos"/>
          <w:i/>
          <w:iCs/>
        </w:rPr>
        <w:t xml:space="preserve"> σωλήνων χάλυβα στο Ηνωμένο Βασίλειο μας φέρνει πιο κοντά στους πελάτες μας τόσο στις παραδοσιακές ενεργειακές αγορές όσο και στη</w:t>
      </w:r>
      <w:r w:rsidR="00C5113A">
        <w:rPr>
          <w:rFonts w:ascii="Aptos" w:hAnsi="Aptos"/>
          <w:i/>
          <w:iCs/>
        </w:rPr>
        <w:t xml:space="preserve">ν αναπτυσσόμενη </w:t>
      </w:r>
      <w:r w:rsidRPr="00F23C14">
        <w:rPr>
          <w:rFonts w:ascii="Aptos" w:hAnsi="Aptos"/>
          <w:i/>
          <w:iCs/>
        </w:rPr>
        <w:t>αγορά δέσμευσης και αποθήκευσης διοξειδίου του άνθρακα (</w:t>
      </w:r>
      <w:r w:rsidRPr="00F23C14">
        <w:rPr>
          <w:rFonts w:ascii="Aptos" w:hAnsi="Aptos"/>
          <w:i/>
          <w:iCs/>
          <w:lang w:val="en-GB"/>
        </w:rPr>
        <w:t>CCS</w:t>
      </w:r>
      <w:r w:rsidRPr="00F23C14">
        <w:rPr>
          <w:rFonts w:ascii="Aptos" w:hAnsi="Aptos"/>
          <w:i/>
          <w:iCs/>
        </w:rPr>
        <w:t>)</w:t>
      </w:r>
      <w:r w:rsidR="00A25E0E" w:rsidRPr="00F23C14">
        <w:rPr>
          <w:rFonts w:ascii="Aptos" w:hAnsi="Aptos"/>
          <w:i/>
        </w:rPr>
        <w:t>.</w:t>
      </w:r>
      <w:r w:rsidR="00C5113A">
        <w:rPr>
          <w:rFonts w:ascii="Aptos" w:hAnsi="Aptos"/>
          <w:i/>
        </w:rPr>
        <w:t xml:space="preserve"> </w:t>
      </w:r>
    </w:p>
    <w:p w14:paraId="17A4F4DA" w14:textId="154E7A7D" w:rsidR="00F23C14" w:rsidRPr="00F23C14" w:rsidRDefault="00F23C14" w:rsidP="00923930">
      <w:pPr>
        <w:spacing w:after="120" w:line="240" w:lineRule="auto"/>
        <w:jc w:val="both"/>
        <w:rPr>
          <w:rFonts w:ascii="Aptos" w:hAnsi="Aptos"/>
          <w:i/>
          <w:iCs/>
        </w:rPr>
      </w:pPr>
      <w:r w:rsidRPr="00F23C14">
        <w:rPr>
          <w:rFonts w:ascii="Aptos" w:hAnsi="Aptos"/>
          <w:i/>
          <w:iCs/>
        </w:rPr>
        <w:t xml:space="preserve">Οι επενδύσεις αυτές ευθυγραμμίζονται με </w:t>
      </w:r>
      <w:r w:rsidR="00C5113A">
        <w:rPr>
          <w:rFonts w:ascii="Aptos" w:hAnsi="Aptos"/>
          <w:i/>
          <w:iCs/>
        </w:rPr>
        <w:t xml:space="preserve">τις επικρατούσες </w:t>
      </w:r>
      <w:r w:rsidRPr="00F23C14">
        <w:rPr>
          <w:rFonts w:ascii="Aptos" w:hAnsi="Aptos"/>
          <w:i/>
          <w:iCs/>
        </w:rPr>
        <w:t xml:space="preserve">μακροπρόθεσμες παγκόσμιες τάσεις: τη διαρκώς αυξανόμενη ζήτηση για </w:t>
      </w:r>
      <w:r w:rsidR="00162D32">
        <w:rPr>
          <w:rFonts w:ascii="Aptos" w:hAnsi="Aptos"/>
          <w:i/>
          <w:iCs/>
        </w:rPr>
        <w:t xml:space="preserve">ηλεκτρικά </w:t>
      </w:r>
      <w:r w:rsidRPr="00F23C14">
        <w:rPr>
          <w:rFonts w:ascii="Aptos" w:hAnsi="Aptos"/>
          <w:i/>
          <w:iCs/>
        </w:rPr>
        <w:t>καλώδια και τη</w:t>
      </w:r>
      <w:r w:rsidR="00162D32">
        <w:rPr>
          <w:rFonts w:ascii="Aptos" w:hAnsi="Aptos"/>
          <w:i/>
          <w:iCs/>
        </w:rPr>
        <w:t xml:space="preserve">ν ανθεκτική ζήτηση για </w:t>
      </w:r>
      <w:r w:rsidRPr="00F23C14">
        <w:rPr>
          <w:rFonts w:ascii="Aptos" w:hAnsi="Aptos"/>
          <w:i/>
          <w:iCs/>
        </w:rPr>
        <w:t>σωλήν</w:t>
      </w:r>
      <w:r w:rsidR="00162D32">
        <w:rPr>
          <w:rFonts w:ascii="Aptos" w:hAnsi="Aptos"/>
          <w:i/>
          <w:iCs/>
        </w:rPr>
        <w:t>ες</w:t>
      </w:r>
      <w:r w:rsidRPr="00F23C14">
        <w:rPr>
          <w:rFonts w:ascii="Aptos" w:hAnsi="Aptos"/>
          <w:i/>
          <w:iCs/>
        </w:rPr>
        <w:t xml:space="preserve"> χάλυβα υψηλών προδιαγραφών. </w:t>
      </w:r>
      <w:r w:rsidR="00162D32">
        <w:rPr>
          <w:rFonts w:ascii="Aptos" w:hAnsi="Aptos"/>
          <w:i/>
          <w:iCs/>
        </w:rPr>
        <w:t xml:space="preserve">Μπαίνουμε </w:t>
      </w:r>
      <w:r w:rsidRPr="00F23C14">
        <w:rPr>
          <w:rFonts w:ascii="Aptos" w:hAnsi="Aptos"/>
          <w:i/>
          <w:iCs/>
        </w:rPr>
        <w:t>στο δεύτερο εξάμηνο του έτους με αυτοπεποίθηση, π</w:t>
      </w:r>
      <w:r w:rsidR="00162D32">
        <w:rPr>
          <w:rFonts w:ascii="Aptos" w:hAnsi="Aptos"/>
          <w:i/>
          <w:iCs/>
        </w:rPr>
        <w:t xml:space="preserve">άντα </w:t>
      </w:r>
      <w:r w:rsidRPr="00F23C14">
        <w:rPr>
          <w:rFonts w:ascii="Aptos" w:hAnsi="Aptos"/>
          <w:i/>
          <w:iCs/>
        </w:rPr>
        <w:t xml:space="preserve">προσηλωμένοι στην ασφάλεια, στην </w:t>
      </w:r>
      <w:r w:rsidR="00162D32">
        <w:rPr>
          <w:rFonts w:ascii="Aptos" w:hAnsi="Aptos"/>
          <w:i/>
          <w:iCs/>
        </w:rPr>
        <w:t>καλή</w:t>
      </w:r>
      <w:r w:rsidRPr="00F23C14">
        <w:rPr>
          <w:rFonts w:ascii="Aptos" w:hAnsi="Aptos"/>
          <w:i/>
          <w:iCs/>
        </w:rPr>
        <w:t xml:space="preserve"> εκτέλεση των έργων και στη δημιουργία μακροπρόθεσμης αξίας.»</w:t>
      </w:r>
    </w:p>
    <w:p w14:paraId="34503576" w14:textId="106BCEC0" w:rsidR="00FC5CF5" w:rsidRPr="0010732A" w:rsidRDefault="00FC5CF5">
      <w:pPr>
        <w:spacing w:after="0" w:line="240" w:lineRule="auto"/>
        <w:rPr>
          <w:rFonts w:ascii="Aptos" w:hAnsi="Aptos" w:cs="Calibri"/>
          <w:i/>
        </w:rPr>
      </w:pPr>
    </w:p>
    <w:tbl>
      <w:tblPr>
        <w:tblpPr w:leftFromText="181" w:rightFromText="181" w:vertAnchor="text" w:horzAnchor="page" w:tblpX="1545" w:tblpY="29"/>
        <w:tblOverlap w:val="never"/>
        <w:tblW w:w="0" w:type="auto"/>
        <w:shd w:val="clear" w:color="auto" w:fill="FFFFFF" w:themeFill="background1"/>
        <w:tblLook w:val="04A0" w:firstRow="1" w:lastRow="0" w:firstColumn="1" w:lastColumn="0" w:noHBand="0" w:noVBand="1"/>
      </w:tblPr>
      <w:tblGrid>
        <w:gridCol w:w="4126"/>
        <w:gridCol w:w="5852"/>
      </w:tblGrid>
      <w:tr w:rsidR="00FC5CF5" w:rsidRPr="00BE5E19" w14:paraId="1AEB3C4B" w14:textId="77777777" w:rsidTr="006B4A72">
        <w:trPr>
          <w:trHeight w:val="280"/>
        </w:trPr>
        <w:tc>
          <w:tcPr>
            <w:tcW w:w="4467" w:type="dxa"/>
            <w:shd w:val="clear" w:color="auto" w:fill="FFFFFF" w:themeFill="background1"/>
          </w:tcPr>
          <w:p w14:paraId="5D07025B" w14:textId="0A384C31" w:rsidR="00FC5CF5" w:rsidRPr="00267796" w:rsidRDefault="00F23C14" w:rsidP="00B4309E">
            <w:pPr>
              <w:spacing w:after="240" w:line="360" w:lineRule="auto"/>
              <w:contextualSpacing/>
              <w:jc w:val="center"/>
              <w:rPr>
                <w:rFonts w:ascii="Aptos" w:eastAsia="HGGothicM" w:hAnsi="Aptos"/>
                <w:b/>
                <w:u w:val="single"/>
              </w:rPr>
            </w:pPr>
            <w:r w:rsidRPr="00267796">
              <w:rPr>
                <w:rFonts w:ascii="Aptos" w:eastAsia="HGGothicM" w:hAnsi="Aptos"/>
                <w:b/>
                <w:u w:val="single"/>
              </w:rPr>
              <w:lastRenderedPageBreak/>
              <w:t>Πωλήσεις</w:t>
            </w:r>
            <w:r w:rsidR="00FC5CF5" w:rsidRPr="00267796">
              <w:rPr>
                <w:rFonts w:ascii="Aptos" w:eastAsia="HGGothicM" w:hAnsi="Aptos"/>
                <w:b/>
                <w:u w:val="single"/>
              </w:rPr>
              <w:t xml:space="preserve"> (</w:t>
            </w:r>
            <w:r w:rsidRPr="00267796">
              <w:rPr>
                <w:rFonts w:ascii="Aptos" w:eastAsia="HGGothicM" w:hAnsi="Aptos"/>
                <w:b/>
                <w:u w:val="single"/>
              </w:rPr>
              <w:t>σε εκατ. ευρώ</w:t>
            </w:r>
            <w:r w:rsidR="00FC5CF5" w:rsidRPr="00267796">
              <w:rPr>
                <w:rFonts w:ascii="Aptos" w:eastAsia="HGGothicM" w:hAnsi="Aptos"/>
                <w:b/>
                <w:u w:val="single"/>
              </w:rPr>
              <w:t>)</w:t>
            </w:r>
          </w:p>
        </w:tc>
        <w:tc>
          <w:tcPr>
            <w:tcW w:w="5026" w:type="dxa"/>
            <w:shd w:val="clear" w:color="auto" w:fill="FFFFFF" w:themeFill="background1"/>
          </w:tcPr>
          <w:p w14:paraId="70F24FC5" w14:textId="503F5AEB" w:rsidR="00FC5CF5" w:rsidRPr="00BE5E19" w:rsidRDefault="00F23C14" w:rsidP="006B4A72">
            <w:pPr>
              <w:spacing w:after="240" w:line="360" w:lineRule="auto"/>
              <w:contextualSpacing/>
              <w:jc w:val="both"/>
              <w:rPr>
                <w:rFonts w:ascii="Aptos" w:eastAsia="HGGothicM" w:hAnsi="Aptos"/>
                <w:i/>
                <w:sz w:val="20"/>
                <w:szCs w:val="20"/>
                <w:lang w:val="en-GB"/>
              </w:rPr>
            </w:pPr>
            <w:r>
              <w:rPr>
                <w:rFonts w:ascii="Aptos" w:eastAsia="HGGothicM" w:hAnsi="Aptos"/>
                <w:i/>
                <w:sz w:val="20"/>
                <w:szCs w:val="20"/>
              </w:rPr>
              <w:t>Ανά τομέα</w:t>
            </w:r>
            <w:r w:rsidR="00FC5CF5" w:rsidRPr="00BE5E19">
              <w:rPr>
                <w:rFonts w:ascii="Aptos" w:eastAsia="HGGothicM" w:hAnsi="Aptos"/>
                <w:i/>
                <w:sz w:val="20"/>
                <w:szCs w:val="20"/>
                <w:lang w:val="en-GB"/>
              </w:rPr>
              <w:t>:</w:t>
            </w:r>
          </w:p>
        </w:tc>
      </w:tr>
      <w:tr w:rsidR="00FC5CF5" w:rsidRPr="00BE5E19" w14:paraId="1F0DCCC3" w14:textId="77777777" w:rsidTr="006B4A72">
        <w:trPr>
          <w:trHeight w:val="1893"/>
        </w:trPr>
        <w:tc>
          <w:tcPr>
            <w:tcW w:w="4467" w:type="dxa"/>
            <w:shd w:val="clear" w:color="auto" w:fill="FFFFFF" w:themeFill="background1"/>
            <w:vAlign w:val="bottom"/>
          </w:tcPr>
          <w:p w14:paraId="4D74C94F" w14:textId="2CFDA637" w:rsidR="00FC5CF5" w:rsidRPr="00BE5E19" w:rsidRDefault="00EB50B5" w:rsidP="00B90788">
            <w:pPr>
              <w:spacing w:after="120" w:line="240" w:lineRule="auto"/>
              <w:contextualSpacing/>
              <w:rPr>
                <w:rFonts w:ascii="Aptos" w:eastAsia="HGGothicM" w:hAnsi="Aptos"/>
                <w:b/>
                <w:i/>
                <w:iCs/>
                <w:sz w:val="20"/>
                <w:szCs w:val="20"/>
                <w:lang w:val="en-GB"/>
              </w:rPr>
            </w:pPr>
            <w:r w:rsidRPr="00EB50B5">
              <w:rPr>
                <w:rFonts w:ascii="Aptos" w:eastAsia="HGGothicM" w:hAnsi="Aptos"/>
                <w:b/>
                <w:i/>
                <w:iCs/>
                <w:noProof/>
                <w:sz w:val="20"/>
                <w:szCs w:val="20"/>
                <w:lang w:val="en-GB"/>
              </w:rPr>
              <w:drawing>
                <wp:inline distT="0" distB="0" distL="0" distR="0" wp14:anchorId="19DE60F4" wp14:editId="49C68EE7">
                  <wp:extent cx="2654498" cy="1857375"/>
                  <wp:effectExtent l="0" t="0" r="0" b="0"/>
                  <wp:docPr id="43795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55531" name=""/>
                          <pic:cNvPicPr/>
                        </pic:nvPicPr>
                        <pic:blipFill>
                          <a:blip r:embed="rId15"/>
                          <a:stretch>
                            <a:fillRect/>
                          </a:stretch>
                        </pic:blipFill>
                        <pic:spPr>
                          <a:xfrm>
                            <a:off x="0" y="0"/>
                            <a:ext cx="2675279" cy="1871915"/>
                          </a:xfrm>
                          <a:prstGeom prst="rect">
                            <a:avLst/>
                          </a:prstGeom>
                        </pic:spPr>
                      </pic:pic>
                    </a:graphicData>
                  </a:graphic>
                </wp:inline>
              </w:drawing>
            </w:r>
          </w:p>
        </w:tc>
        <w:tc>
          <w:tcPr>
            <w:tcW w:w="5026" w:type="dxa"/>
            <w:shd w:val="clear" w:color="auto" w:fill="FFFFFF" w:themeFill="background1"/>
            <w:vAlign w:val="bottom"/>
          </w:tcPr>
          <w:p w14:paraId="145BC128" w14:textId="71D11FFF" w:rsidR="00FC5CF5" w:rsidRPr="00EB50B5" w:rsidRDefault="00EB50B5" w:rsidP="00EB50B5">
            <w:pPr>
              <w:spacing w:after="120" w:line="240" w:lineRule="auto"/>
              <w:ind w:right="1225"/>
              <w:contextualSpacing/>
              <w:rPr>
                <w:rFonts w:ascii="Aptos" w:eastAsia="HGGothicM" w:hAnsi="Aptos"/>
                <w:b/>
                <w:sz w:val="20"/>
                <w:szCs w:val="20"/>
                <w:lang w:val="en-GB"/>
              </w:rPr>
            </w:pPr>
            <w:r w:rsidRPr="00EB50B5">
              <w:rPr>
                <w:rFonts w:ascii="Aptos" w:eastAsia="HGGothicM" w:hAnsi="Aptos"/>
                <w:b/>
                <w:noProof/>
                <w:sz w:val="20"/>
                <w:szCs w:val="20"/>
                <w:lang w:val="en-GB"/>
              </w:rPr>
              <w:drawing>
                <wp:inline distT="0" distB="0" distL="0" distR="0" wp14:anchorId="7EC578DD" wp14:editId="49DB02C2">
                  <wp:extent cx="3038475" cy="1828800"/>
                  <wp:effectExtent l="0" t="0" r="9525" b="0"/>
                  <wp:docPr id="438926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26552" name=""/>
                          <pic:cNvPicPr/>
                        </pic:nvPicPr>
                        <pic:blipFill>
                          <a:blip r:embed="rId16"/>
                          <a:stretch>
                            <a:fillRect/>
                          </a:stretch>
                        </pic:blipFill>
                        <pic:spPr>
                          <a:xfrm>
                            <a:off x="0" y="0"/>
                            <a:ext cx="3059072" cy="1841197"/>
                          </a:xfrm>
                          <a:prstGeom prst="rect">
                            <a:avLst/>
                          </a:prstGeom>
                        </pic:spPr>
                      </pic:pic>
                    </a:graphicData>
                  </a:graphic>
                </wp:inline>
              </w:drawing>
            </w:r>
          </w:p>
        </w:tc>
      </w:tr>
      <w:tr w:rsidR="00FC5CF5" w:rsidRPr="00F23C14" w14:paraId="68D3846C" w14:textId="77777777" w:rsidTr="006B4A72">
        <w:trPr>
          <w:trHeight w:val="572"/>
        </w:trPr>
        <w:tc>
          <w:tcPr>
            <w:tcW w:w="4467" w:type="dxa"/>
            <w:shd w:val="clear" w:color="auto" w:fill="FFFFFF" w:themeFill="background1"/>
          </w:tcPr>
          <w:p w14:paraId="6F751547" w14:textId="77777777" w:rsidR="00FC5CF5" w:rsidRPr="00BE5E19" w:rsidRDefault="00FC5CF5" w:rsidP="00B90788">
            <w:pPr>
              <w:spacing w:before="240" w:after="0" w:line="360" w:lineRule="auto"/>
              <w:contextualSpacing/>
              <w:jc w:val="both"/>
              <w:rPr>
                <w:rFonts w:ascii="Aptos" w:eastAsia="HGGothicM" w:hAnsi="Aptos"/>
                <w:b/>
                <w:sz w:val="20"/>
                <w:szCs w:val="20"/>
                <w:u w:val="single"/>
                <w:lang w:val="en-GB"/>
              </w:rPr>
            </w:pPr>
          </w:p>
          <w:p w14:paraId="79BE26B9" w14:textId="10B25EAD" w:rsidR="00FC5CF5" w:rsidRPr="00F23C14" w:rsidRDefault="00F23C14" w:rsidP="00B4309E">
            <w:pPr>
              <w:spacing w:after="240" w:line="360" w:lineRule="auto"/>
              <w:contextualSpacing/>
              <w:jc w:val="center"/>
              <w:rPr>
                <w:rFonts w:ascii="Aptos" w:eastAsia="HGGothicM" w:hAnsi="Aptos"/>
                <w:b/>
                <w:sz w:val="20"/>
                <w:szCs w:val="20"/>
                <w:u w:val="single"/>
              </w:rPr>
            </w:pPr>
            <w:r>
              <w:rPr>
                <w:rFonts w:ascii="Aptos" w:eastAsia="HGGothicM" w:hAnsi="Aptos"/>
                <w:b/>
                <w:u w:val="single"/>
              </w:rPr>
              <w:t>α</w:t>
            </w:r>
            <w:r w:rsidR="00FC5CF5" w:rsidRPr="00F23C14">
              <w:rPr>
                <w:rFonts w:ascii="Aptos" w:eastAsia="HGGothicM" w:hAnsi="Aptos"/>
                <w:b/>
                <w:u w:val="single"/>
              </w:rPr>
              <w:t>-</w:t>
            </w:r>
            <w:r w:rsidR="00FC5CF5" w:rsidRPr="00BE5E19">
              <w:rPr>
                <w:rFonts w:ascii="Aptos" w:eastAsia="HGGothicM" w:hAnsi="Aptos"/>
                <w:b/>
                <w:u w:val="single"/>
                <w:lang w:val="en-GB"/>
              </w:rPr>
              <w:t>EBITDA</w:t>
            </w:r>
            <w:r w:rsidR="00FC5CF5" w:rsidRPr="00F23C14">
              <w:rPr>
                <w:rFonts w:ascii="Aptos" w:eastAsia="HGGothicM" w:hAnsi="Aptos"/>
                <w:b/>
                <w:u w:val="single"/>
              </w:rPr>
              <w:t xml:space="preserve"> (</w:t>
            </w:r>
            <w:r w:rsidRPr="00F23C14">
              <w:rPr>
                <w:rFonts w:ascii="Aptos" w:eastAsia="HGGothicM" w:hAnsi="Aptos"/>
                <w:b/>
                <w:u w:val="single"/>
              </w:rPr>
              <w:t>σε εκατ. ευρώ</w:t>
            </w:r>
            <w:r w:rsidR="00FC5CF5" w:rsidRPr="00F23C14">
              <w:rPr>
                <w:rFonts w:ascii="Aptos" w:eastAsia="HGGothicM" w:hAnsi="Aptos"/>
                <w:b/>
                <w:u w:val="single"/>
              </w:rPr>
              <w:t>)</w:t>
            </w:r>
          </w:p>
        </w:tc>
        <w:tc>
          <w:tcPr>
            <w:tcW w:w="5026" w:type="dxa"/>
            <w:shd w:val="clear" w:color="auto" w:fill="FFFFFF" w:themeFill="background1"/>
          </w:tcPr>
          <w:p w14:paraId="0EE070A2" w14:textId="77777777" w:rsidR="00FC5CF5" w:rsidRPr="00F23C14" w:rsidRDefault="00FC5CF5" w:rsidP="00B90788">
            <w:pPr>
              <w:spacing w:before="240" w:after="0" w:line="360" w:lineRule="auto"/>
              <w:ind w:left="1028"/>
              <w:contextualSpacing/>
              <w:rPr>
                <w:rFonts w:ascii="Aptos" w:eastAsia="HGGothicM" w:hAnsi="Aptos"/>
                <w:b/>
                <w:sz w:val="20"/>
                <w:szCs w:val="20"/>
                <w:u w:val="single"/>
              </w:rPr>
            </w:pPr>
          </w:p>
          <w:p w14:paraId="534DC035" w14:textId="30086613" w:rsidR="00FC5CF5" w:rsidRPr="00F23C14" w:rsidRDefault="00FC5CF5" w:rsidP="00B90788">
            <w:pPr>
              <w:spacing w:after="240" w:line="360" w:lineRule="auto"/>
              <w:ind w:left="1028"/>
              <w:contextualSpacing/>
              <w:jc w:val="both"/>
              <w:rPr>
                <w:rFonts w:ascii="Aptos" w:eastAsia="HGGothicM" w:hAnsi="Aptos"/>
                <w:b/>
                <w:sz w:val="20"/>
                <w:szCs w:val="20"/>
                <w:u w:val="single"/>
              </w:rPr>
            </w:pPr>
          </w:p>
        </w:tc>
      </w:tr>
      <w:tr w:rsidR="00FC5CF5" w:rsidRPr="00F23C14" w14:paraId="4639D106" w14:textId="77777777" w:rsidTr="006B4A72">
        <w:trPr>
          <w:trHeight w:val="2150"/>
        </w:trPr>
        <w:tc>
          <w:tcPr>
            <w:tcW w:w="4467" w:type="dxa"/>
            <w:shd w:val="clear" w:color="auto" w:fill="FFFFFF" w:themeFill="background1"/>
            <w:vAlign w:val="bottom"/>
          </w:tcPr>
          <w:p w14:paraId="158C14E7" w14:textId="01DBB0AB" w:rsidR="00FC5CF5" w:rsidRPr="00867F19" w:rsidRDefault="00867F19" w:rsidP="00B90788">
            <w:pPr>
              <w:spacing w:after="240" w:line="360" w:lineRule="auto"/>
              <w:contextualSpacing/>
              <w:rPr>
                <w:rFonts w:ascii="Aptos" w:eastAsia="HGGothicM" w:hAnsi="Aptos"/>
                <w:b/>
                <w:sz w:val="20"/>
                <w:szCs w:val="20"/>
              </w:rPr>
            </w:pPr>
            <w:r w:rsidRPr="00867F19">
              <w:rPr>
                <w:rFonts w:ascii="Aptos" w:eastAsia="HGGothicM" w:hAnsi="Aptos"/>
                <w:b/>
                <w:noProof/>
                <w:sz w:val="20"/>
                <w:szCs w:val="20"/>
              </w:rPr>
              <w:drawing>
                <wp:inline distT="0" distB="0" distL="0" distR="0" wp14:anchorId="64154731" wp14:editId="7FF04FDC">
                  <wp:extent cx="2638425" cy="1847658"/>
                  <wp:effectExtent l="0" t="0" r="0" b="635"/>
                  <wp:docPr id="996762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62184" name=""/>
                          <pic:cNvPicPr/>
                        </pic:nvPicPr>
                        <pic:blipFill>
                          <a:blip r:embed="rId17"/>
                          <a:stretch>
                            <a:fillRect/>
                          </a:stretch>
                        </pic:blipFill>
                        <pic:spPr>
                          <a:xfrm>
                            <a:off x="0" y="0"/>
                            <a:ext cx="2648086" cy="1854424"/>
                          </a:xfrm>
                          <a:prstGeom prst="rect">
                            <a:avLst/>
                          </a:prstGeom>
                        </pic:spPr>
                      </pic:pic>
                    </a:graphicData>
                  </a:graphic>
                </wp:inline>
              </w:drawing>
            </w:r>
          </w:p>
        </w:tc>
        <w:tc>
          <w:tcPr>
            <w:tcW w:w="5026" w:type="dxa"/>
            <w:shd w:val="clear" w:color="auto" w:fill="FFFFFF" w:themeFill="background1"/>
            <w:vAlign w:val="bottom"/>
          </w:tcPr>
          <w:p w14:paraId="3A0AAA73" w14:textId="64C91D22" w:rsidR="00FC5CF5" w:rsidRPr="00867F19" w:rsidRDefault="00867F19" w:rsidP="00867F19">
            <w:pPr>
              <w:spacing w:after="240" w:line="360" w:lineRule="auto"/>
              <w:contextualSpacing/>
              <w:rPr>
                <w:rFonts w:ascii="Aptos" w:eastAsia="HGGothicM" w:hAnsi="Aptos"/>
                <w:b/>
                <w:sz w:val="20"/>
                <w:szCs w:val="20"/>
              </w:rPr>
            </w:pPr>
            <w:r w:rsidRPr="00867F19">
              <w:rPr>
                <w:rFonts w:ascii="Aptos" w:eastAsia="HGGothicM" w:hAnsi="Aptos"/>
                <w:b/>
                <w:noProof/>
                <w:sz w:val="20"/>
                <w:szCs w:val="20"/>
              </w:rPr>
              <w:drawing>
                <wp:inline distT="0" distB="0" distL="0" distR="0" wp14:anchorId="126F938C" wp14:editId="4FFC0C08">
                  <wp:extent cx="2886075" cy="1685290"/>
                  <wp:effectExtent l="0" t="0" r="0" b="0"/>
                  <wp:docPr id="1059856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56300" name=""/>
                          <pic:cNvPicPr/>
                        </pic:nvPicPr>
                        <pic:blipFill>
                          <a:blip r:embed="rId18"/>
                          <a:stretch>
                            <a:fillRect/>
                          </a:stretch>
                        </pic:blipFill>
                        <pic:spPr>
                          <a:xfrm>
                            <a:off x="0" y="0"/>
                            <a:ext cx="2900987" cy="1693998"/>
                          </a:xfrm>
                          <a:prstGeom prst="rect">
                            <a:avLst/>
                          </a:prstGeom>
                        </pic:spPr>
                      </pic:pic>
                    </a:graphicData>
                  </a:graphic>
                </wp:inline>
              </w:drawing>
            </w:r>
          </w:p>
        </w:tc>
      </w:tr>
    </w:tbl>
    <w:p w14:paraId="6F53EC52" w14:textId="77777777" w:rsidR="00867F19" w:rsidRPr="0010732A" w:rsidRDefault="00867F19" w:rsidP="005E0EB8">
      <w:pPr>
        <w:spacing w:after="120" w:line="240" w:lineRule="auto"/>
        <w:jc w:val="both"/>
        <w:rPr>
          <w:rFonts w:ascii="Aptos" w:eastAsia="SimSun" w:hAnsi="Aptos" w:cs="Calibri"/>
          <w:b/>
          <w:bCs/>
          <w:color w:val="4F6228"/>
          <w:sz w:val="24"/>
          <w:szCs w:val="24"/>
        </w:rPr>
      </w:pPr>
      <w:r w:rsidRPr="0010732A">
        <w:rPr>
          <w:rFonts w:ascii="Aptos" w:eastAsia="SimSun" w:hAnsi="Aptos" w:cs="Calibri"/>
          <w:b/>
          <w:bCs/>
          <w:color w:val="4F6228"/>
          <w:sz w:val="24"/>
          <w:szCs w:val="24"/>
        </w:rPr>
        <w:t>Επισκόπηση</w:t>
      </w:r>
    </w:p>
    <w:p w14:paraId="463D935F" w14:textId="1B58521A" w:rsidR="0030155B" w:rsidRPr="00867F19" w:rsidRDefault="00867F19" w:rsidP="005E0EB8">
      <w:pPr>
        <w:spacing w:after="120" w:line="240" w:lineRule="auto"/>
        <w:jc w:val="both"/>
        <w:rPr>
          <w:rFonts w:ascii="Aptos" w:hAnsi="Aptos"/>
          <w:b/>
          <w:sz w:val="20"/>
        </w:rPr>
      </w:pPr>
      <w:r w:rsidRPr="00867F19">
        <w:rPr>
          <w:rFonts w:ascii="Aptos" w:hAnsi="Aptos"/>
        </w:rPr>
        <w:t xml:space="preserve">Η </w:t>
      </w:r>
      <w:r w:rsidRPr="00867F19">
        <w:rPr>
          <w:rFonts w:ascii="Aptos" w:hAnsi="Aptos"/>
          <w:lang w:val="en-GB"/>
        </w:rPr>
        <w:t>Cenergy</w:t>
      </w:r>
      <w:r w:rsidRPr="00867F19">
        <w:rPr>
          <w:rFonts w:ascii="Aptos" w:hAnsi="Aptos"/>
        </w:rPr>
        <w:t xml:space="preserve"> </w:t>
      </w:r>
      <w:r w:rsidRPr="00867F19">
        <w:rPr>
          <w:rFonts w:ascii="Aptos" w:hAnsi="Aptos"/>
          <w:lang w:val="en-GB"/>
        </w:rPr>
        <w:t>Holdings</w:t>
      </w:r>
      <w:r w:rsidRPr="00867F19">
        <w:rPr>
          <w:rFonts w:ascii="Aptos" w:hAnsi="Aptos"/>
        </w:rPr>
        <w:t xml:space="preserve"> κατέγραψε </w:t>
      </w:r>
      <w:r w:rsidR="00C5113A" w:rsidRPr="00C5113A">
        <w:rPr>
          <w:rFonts w:ascii="Aptos" w:hAnsi="Aptos"/>
        </w:rPr>
        <w:t>ιδιαίτερα θετικές επιδόσεις</w:t>
      </w:r>
      <w:r w:rsidRPr="00867F19">
        <w:rPr>
          <w:rFonts w:ascii="Aptos" w:hAnsi="Aptos"/>
        </w:rPr>
        <w:t xml:space="preserve"> κατά το πρώτο εξάμηνο του 2026. Οι πωλήσεις αυξήθηκαν κατά 13% σε ετήσια βάση και ανήλθαν σε 1,15 δισ. ευρώ, ενώ το αναπροσαρμοσμένο </w:t>
      </w:r>
      <w:r w:rsidRPr="00867F19">
        <w:rPr>
          <w:rFonts w:ascii="Aptos" w:hAnsi="Aptos"/>
          <w:lang w:val="en-GB"/>
        </w:rPr>
        <w:t>EBITDA</w:t>
      </w:r>
      <w:r w:rsidRPr="00867F19">
        <w:rPr>
          <w:rFonts w:ascii="Aptos" w:hAnsi="Aptos"/>
        </w:rPr>
        <w:t xml:space="preserve"> ενισχύθηκε κατά 26% και διαμορφώθηκε σε 216 εκατ. ευρώ. Η βελτίωση της κερδοφορίας προήλθε από την αποτελεσματική εκτέλεση έργων, την υψηλή αξιοποίηση της παραγωγικής δυναμικότητας και το ευνοϊκό μείγμα </w:t>
      </w:r>
      <w:r w:rsidR="00C5113A">
        <w:rPr>
          <w:rFonts w:ascii="Aptos" w:hAnsi="Aptos"/>
        </w:rPr>
        <w:t>πωλήσεων</w:t>
      </w:r>
      <w:r w:rsidRPr="00867F19">
        <w:rPr>
          <w:rFonts w:ascii="Aptos" w:hAnsi="Aptos"/>
        </w:rPr>
        <w:t xml:space="preserve">, </w:t>
      </w:r>
      <w:r w:rsidR="00C5113A">
        <w:rPr>
          <w:rFonts w:ascii="Aptos" w:hAnsi="Aptos"/>
        </w:rPr>
        <w:t>κυρίως</w:t>
      </w:r>
      <w:r w:rsidRPr="00867F19">
        <w:rPr>
          <w:rFonts w:ascii="Aptos" w:hAnsi="Aptos"/>
        </w:rPr>
        <w:t xml:space="preserve"> σε τεχνικά απαιτητικά έργα ενεργειακών υποδομών. Τα καθαρά κέρδη μετά από φόρους </w:t>
      </w:r>
      <w:r w:rsidR="00745783">
        <w:rPr>
          <w:rFonts w:ascii="Aptos" w:hAnsi="Aptos"/>
        </w:rPr>
        <w:t>έφτασαν τα</w:t>
      </w:r>
      <w:r w:rsidRPr="00867F19">
        <w:rPr>
          <w:rFonts w:ascii="Aptos" w:hAnsi="Aptos"/>
        </w:rPr>
        <w:t xml:space="preserve"> 138 εκατ. ευρώ.</w:t>
      </w:r>
    </w:p>
    <w:p w14:paraId="4C7EE49A" w14:textId="03BA4FAE" w:rsidR="00867F19" w:rsidRDefault="00867F19" w:rsidP="005E0EB8">
      <w:pPr>
        <w:spacing w:after="120" w:line="240" w:lineRule="auto"/>
        <w:jc w:val="both"/>
        <w:rPr>
          <w:rFonts w:ascii="Aptos" w:hAnsi="Aptos" w:cs="Calibri"/>
        </w:rPr>
      </w:pPr>
      <w:r w:rsidRPr="00867F19">
        <w:rPr>
          <w:rFonts w:ascii="Aptos" w:hAnsi="Aptos" w:cs="Calibri"/>
        </w:rPr>
        <w:t xml:space="preserve">Στα τέλη Ιουνίου, η </w:t>
      </w:r>
      <w:r w:rsidRPr="00867F19">
        <w:rPr>
          <w:rFonts w:ascii="Aptos" w:hAnsi="Aptos" w:cs="Calibri"/>
          <w:lang w:val="en-GB"/>
        </w:rPr>
        <w:t>Hellenic</w:t>
      </w:r>
      <w:r w:rsidRPr="00867F19">
        <w:rPr>
          <w:rFonts w:ascii="Aptos" w:hAnsi="Aptos" w:cs="Calibri"/>
        </w:rPr>
        <w:t xml:space="preserve"> </w:t>
      </w:r>
      <w:r w:rsidRPr="00867F19">
        <w:rPr>
          <w:rFonts w:ascii="Aptos" w:hAnsi="Aptos" w:cs="Calibri"/>
          <w:lang w:val="en-GB"/>
        </w:rPr>
        <w:t>Cables</w:t>
      </w:r>
      <w:r w:rsidRPr="00867F19">
        <w:rPr>
          <w:rFonts w:ascii="Aptos" w:hAnsi="Aptos" w:cs="Calibri"/>
        </w:rPr>
        <w:t xml:space="preserve"> εξασφάλισε τη μεγαλύτερη ανάθεση στην ιστορία της, υπογράφοντας με τον ΑΔΜΗΕ συμφωνία-πλαίσιο για τη διασύνδεση </w:t>
      </w:r>
      <w:r w:rsidR="00C5113A" w:rsidRPr="00867F19">
        <w:rPr>
          <w:rFonts w:ascii="Aptos" w:hAnsi="Aptos" w:cs="Calibri"/>
        </w:rPr>
        <w:t xml:space="preserve">των νησιών του Βορείου Αιγαίου </w:t>
      </w:r>
      <w:r w:rsidRPr="00867F19">
        <w:rPr>
          <w:rFonts w:ascii="Aptos" w:hAnsi="Aptos" w:cs="Calibri"/>
        </w:rPr>
        <w:t>και</w:t>
      </w:r>
      <w:r w:rsidR="00C5113A" w:rsidRPr="00C5113A">
        <w:rPr>
          <w:rFonts w:ascii="Aptos" w:hAnsi="Aptos" w:cs="Calibri"/>
        </w:rPr>
        <w:t xml:space="preserve"> </w:t>
      </w:r>
      <w:r w:rsidR="00C5113A" w:rsidRPr="00867F19">
        <w:rPr>
          <w:rFonts w:ascii="Aptos" w:hAnsi="Aptos" w:cs="Calibri"/>
        </w:rPr>
        <w:t>των Δωδεκανήσων</w:t>
      </w:r>
      <w:r w:rsidRPr="00867F19">
        <w:rPr>
          <w:rFonts w:ascii="Aptos" w:hAnsi="Aptos" w:cs="Calibri"/>
        </w:rPr>
        <w:t xml:space="preserve">, συνολικής αξίας περίπου 1,15 δισ. ευρώ. </w:t>
      </w:r>
      <w:r w:rsidRPr="0010732A">
        <w:rPr>
          <w:rFonts w:ascii="Aptos" w:hAnsi="Aptos" w:cs="Calibri"/>
        </w:rPr>
        <w:t>Η ανάθεση αυτή αύξησε το συνολικό ανεκτέλεστο υπόλοιπο παραγγελιών του Ομίλου σε περίπου 3,9 δισ. ευρώ, ενισχύοντας σημαντικά την πολυετή ορατότητα των εσόδων του.</w:t>
      </w:r>
      <w:r w:rsidR="00C5113A">
        <w:rPr>
          <w:rFonts w:ascii="Aptos" w:hAnsi="Aptos" w:cs="Calibri"/>
        </w:rPr>
        <w:t xml:space="preserve"> </w:t>
      </w:r>
    </w:p>
    <w:p w14:paraId="5D8F2360" w14:textId="28370177" w:rsidR="00867F19" w:rsidRDefault="00867F19" w:rsidP="005E0EB8">
      <w:pPr>
        <w:keepNext/>
        <w:spacing w:after="120" w:line="240" w:lineRule="auto"/>
        <w:jc w:val="both"/>
        <w:rPr>
          <w:rFonts w:ascii="Aptos" w:hAnsi="Aptos"/>
        </w:rPr>
      </w:pPr>
      <w:r w:rsidRPr="00867F19">
        <w:rPr>
          <w:rFonts w:ascii="Aptos" w:hAnsi="Aptos"/>
        </w:rPr>
        <w:t xml:space="preserve">Ο </w:t>
      </w:r>
      <w:r w:rsidRPr="00867F19">
        <w:rPr>
          <w:rFonts w:ascii="Aptos" w:hAnsi="Aptos"/>
          <w:b/>
          <w:bCs/>
        </w:rPr>
        <w:t>τομέας καλωδίων</w:t>
      </w:r>
      <w:r w:rsidRPr="00867F19">
        <w:rPr>
          <w:rFonts w:ascii="Aptos" w:hAnsi="Aptos"/>
        </w:rPr>
        <w:t xml:space="preserve"> κατέγραψε πωλήσεις ύψους 842 εκατ. ευρώ, αυξημένες κατά 13% σε ετήσια βάση, καθώς η πρόσφατα ενισχυμένη παραγωγική δυναμικό</w:t>
      </w:r>
      <w:r w:rsidRPr="00C5113A">
        <w:rPr>
          <w:rFonts w:ascii="Aptos" w:hAnsi="Aptos"/>
        </w:rPr>
        <w:t xml:space="preserve">τητα στα υποβρύχια καλώδια </w:t>
      </w:r>
      <w:r w:rsidR="0005435D">
        <w:rPr>
          <w:rFonts w:ascii="Aptos" w:hAnsi="Aptos"/>
        </w:rPr>
        <w:t xml:space="preserve">οδήγησε σε </w:t>
      </w:r>
      <w:r w:rsidRPr="00C5113A">
        <w:rPr>
          <w:rFonts w:ascii="Aptos" w:hAnsi="Aptos"/>
        </w:rPr>
        <w:t xml:space="preserve">υψηλότερα επίπεδα δραστηριότητας, ενώ τα </w:t>
      </w:r>
      <w:r w:rsidR="0005435D">
        <w:rPr>
          <w:rFonts w:ascii="Aptos" w:hAnsi="Aptos"/>
        </w:rPr>
        <w:t xml:space="preserve">καλωδιακά </w:t>
      </w:r>
      <w:r w:rsidRPr="00C5113A">
        <w:rPr>
          <w:rFonts w:ascii="Aptos" w:hAnsi="Aptos"/>
        </w:rPr>
        <w:t>προϊόντα συνέχισαν να επωφελούνται από την ισχυρή ζήτηση</w:t>
      </w:r>
      <w:r w:rsidRPr="00867F19">
        <w:rPr>
          <w:rFonts w:ascii="Aptos" w:hAnsi="Aptos"/>
        </w:rPr>
        <w:t xml:space="preserve">. </w:t>
      </w:r>
      <w:r w:rsidR="0005435D">
        <w:rPr>
          <w:rFonts w:ascii="Aptos" w:hAnsi="Aptos"/>
        </w:rPr>
        <w:t xml:space="preserve"> </w:t>
      </w:r>
      <w:r w:rsidRPr="00867F19">
        <w:rPr>
          <w:rFonts w:ascii="Aptos" w:hAnsi="Aptos"/>
        </w:rPr>
        <w:t xml:space="preserve">Το αναπροσαρμοσμένο </w:t>
      </w:r>
      <w:r w:rsidRPr="00867F19">
        <w:rPr>
          <w:rFonts w:ascii="Aptos" w:hAnsi="Aptos"/>
          <w:lang w:val="en-GB"/>
        </w:rPr>
        <w:t>EBITDA</w:t>
      </w:r>
      <w:r w:rsidRPr="00867F19">
        <w:rPr>
          <w:rFonts w:ascii="Aptos" w:hAnsi="Aptos"/>
        </w:rPr>
        <w:t xml:space="preserve"> αυξήθηκε κατά 36% </w:t>
      </w:r>
      <w:r w:rsidR="0005435D">
        <w:rPr>
          <w:rFonts w:ascii="Aptos" w:hAnsi="Aptos"/>
        </w:rPr>
        <w:t xml:space="preserve">στα </w:t>
      </w:r>
      <w:r w:rsidRPr="00867F19">
        <w:rPr>
          <w:rFonts w:ascii="Aptos" w:hAnsi="Aptos"/>
        </w:rPr>
        <w:t xml:space="preserve">164 εκατ. ευρώ, με το αντίστοιχο περιθώριο να διαμορφώνεται στο 19,5%. </w:t>
      </w:r>
      <w:r w:rsidR="0005435D">
        <w:rPr>
          <w:rFonts w:ascii="Aptos" w:hAnsi="Aptos"/>
        </w:rPr>
        <w:t xml:space="preserve"> </w:t>
      </w:r>
      <w:r w:rsidRPr="00867F19">
        <w:rPr>
          <w:rFonts w:ascii="Aptos" w:hAnsi="Aptos"/>
        </w:rPr>
        <w:t xml:space="preserve">Μετά την ανάθεση του έργου του ΑΔΜΗΕ, το ανεκτέλεστο υπόλοιπο παραγγελιών του τομέα ανήλθε σε περίπου 3,4 δισ. ευρώ. </w:t>
      </w:r>
      <w:r w:rsidR="0005435D">
        <w:rPr>
          <w:rFonts w:ascii="Aptos" w:hAnsi="Aptos"/>
        </w:rPr>
        <w:t xml:space="preserve"> </w:t>
      </w:r>
      <w:r w:rsidRPr="00867F19">
        <w:rPr>
          <w:rFonts w:ascii="Aptos" w:hAnsi="Aptos"/>
        </w:rPr>
        <w:t xml:space="preserve">Παράλληλα, συνεχίστηκε η υλοποίηση του επενδυτικού προγράμματος με έμφαση στην ενίσχυση </w:t>
      </w:r>
      <w:r w:rsidR="00267796">
        <w:rPr>
          <w:rFonts w:ascii="Aptos" w:hAnsi="Aptos"/>
        </w:rPr>
        <w:t>των μονάδων</w:t>
      </w:r>
      <w:r w:rsidRPr="00867F19">
        <w:rPr>
          <w:rFonts w:ascii="Aptos" w:hAnsi="Aptos"/>
        </w:rPr>
        <w:t xml:space="preserve"> παραγωγής χερσαίων καλωδίων στην Ελλάδα και την </w:t>
      </w:r>
      <w:r w:rsidR="0062193C">
        <w:rPr>
          <w:rFonts w:ascii="Aptos" w:hAnsi="Aptos"/>
        </w:rPr>
        <w:t xml:space="preserve">ολοκλήρωση </w:t>
      </w:r>
      <w:r w:rsidR="00267796">
        <w:rPr>
          <w:rFonts w:ascii="Aptos" w:hAnsi="Aptos"/>
        </w:rPr>
        <w:t>κατασκευή</w:t>
      </w:r>
      <w:r w:rsidR="0062193C">
        <w:rPr>
          <w:rFonts w:ascii="Aptos" w:hAnsi="Aptos"/>
        </w:rPr>
        <w:t>ς</w:t>
      </w:r>
      <w:r w:rsidR="00267796">
        <w:rPr>
          <w:rFonts w:ascii="Aptos" w:hAnsi="Aptos"/>
        </w:rPr>
        <w:t xml:space="preserve"> της </w:t>
      </w:r>
      <w:r w:rsidRPr="00867F19">
        <w:rPr>
          <w:rFonts w:ascii="Aptos" w:hAnsi="Aptos"/>
        </w:rPr>
        <w:t xml:space="preserve">νέας μονάδας στο </w:t>
      </w:r>
      <w:r w:rsidR="001A6073">
        <w:rPr>
          <w:rFonts w:ascii="Aptos" w:hAnsi="Aptos"/>
          <w:lang w:val="en-US"/>
        </w:rPr>
        <w:t>Maryland</w:t>
      </w:r>
      <w:r w:rsidRPr="00867F19">
        <w:rPr>
          <w:rFonts w:ascii="Aptos" w:hAnsi="Aptos"/>
        </w:rPr>
        <w:t xml:space="preserve"> των ΗΠΑ.</w:t>
      </w:r>
    </w:p>
    <w:p w14:paraId="279C7C87" w14:textId="664FC55E" w:rsidR="00867F19" w:rsidRPr="00DA3B84" w:rsidRDefault="00867F19" w:rsidP="005E0EB8">
      <w:pPr>
        <w:keepNext/>
        <w:spacing w:after="120" w:line="240" w:lineRule="auto"/>
        <w:jc w:val="both"/>
        <w:rPr>
          <w:rFonts w:ascii="Aptos" w:hAnsi="Aptos"/>
        </w:rPr>
      </w:pPr>
      <w:r w:rsidRPr="00867F19">
        <w:rPr>
          <w:rFonts w:ascii="Aptos" w:hAnsi="Aptos"/>
        </w:rPr>
        <w:t xml:space="preserve">Ο </w:t>
      </w:r>
      <w:r w:rsidRPr="00867F19">
        <w:rPr>
          <w:rFonts w:ascii="Aptos" w:hAnsi="Aptos"/>
          <w:b/>
          <w:bCs/>
        </w:rPr>
        <w:t>τομέας σωλήνων χάλυβα</w:t>
      </w:r>
      <w:r w:rsidRPr="00867F19">
        <w:rPr>
          <w:rFonts w:ascii="Aptos" w:hAnsi="Aptos"/>
        </w:rPr>
        <w:t xml:space="preserve"> κατέγραψε πωλήσεις ύψους 311,5 εκατ. ευρώ, αυξημένες κατά 11% σε σχέση με το πρώτο εξάμηνο του 2025. Το αναπροσαρμοσμένο </w:t>
      </w:r>
      <w:r w:rsidRPr="00867F19">
        <w:rPr>
          <w:rFonts w:ascii="Aptos" w:hAnsi="Aptos"/>
          <w:lang w:val="en-GB"/>
        </w:rPr>
        <w:t>EBITDA</w:t>
      </w:r>
      <w:r w:rsidRPr="00867F19">
        <w:rPr>
          <w:rFonts w:ascii="Aptos" w:hAnsi="Aptos"/>
        </w:rPr>
        <w:t xml:space="preserve"> παρέμεινε υψηλ</w:t>
      </w:r>
      <w:r w:rsidR="00782852">
        <w:rPr>
          <w:rFonts w:ascii="Aptos" w:hAnsi="Aptos"/>
        </w:rPr>
        <w:t>ό</w:t>
      </w:r>
      <w:r w:rsidRPr="00867F19">
        <w:rPr>
          <w:rFonts w:ascii="Aptos" w:hAnsi="Aptos"/>
        </w:rPr>
        <w:t xml:space="preserve">, </w:t>
      </w:r>
      <w:r w:rsidR="00731F86">
        <w:rPr>
          <w:rFonts w:ascii="Aptos" w:hAnsi="Aptos"/>
        </w:rPr>
        <w:t>σ</w:t>
      </w:r>
      <w:r w:rsidRPr="00867F19">
        <w:rPr>
          <w:rFonts w:ascii="Aptos" w:hAnsi="Aptos"/>
        </w:rPr>
        <w:t>τα 52 εκατ. ευρώ</w:t>
      </w:r>
      <w:r w:rsidR="00782852">
        <w:rPr>
          <w:rFonts w:ascii="Aptos" w:hAnsi="Aptos"/>
        </w:rPr>
        <w:t xml:space="preserve"> (+</w:t>
      </w:r>
      <w:r w:rsidRPr="00867F19">
        <w:rPr>
          <w:rFonts w:ascii="Aptos" w:hAnsi="Aptos"/>
        </w:rPr>
        <w:t>2% σε ετήσια βάση</w:t>
      </w:r>
      <w:r w:rsidR="00782852">
        <w:rPr>
          <w:rFonts w:ascii="Aptos" w:hAnsi="Aptos"/>
        </w:rPr>
        <w:t>)</w:t>
      </w:r>
      <w:r w:rsidRPr="00867F19">
        <w:rPr>
          <w:rFonts w:ascii="Aptos" w:hAnsi="Aptos"/>
        </w:rPr>
        <w:t xml:space="preserve">, με </w:t>
      </w:r>
      <w:r w:rsidR="00731F86">
        <w:rPr>
          <w:rFonts w:ascii="Aptos" w:hAnsi="Aptos"/>
        </w:rPr>
        <w:t>τ</w:t>
      </w:r>
      <w:r w:rsidR="00A83DE6">
        <w:rPr>
          <w:rFonts w:ascii="Aptos" w:hAnsi="Aptos"/>
        </w:rPr>
        <w:t>ο</w:t>
      </w:r>
      <w:r w:rsidR="00731F86">
        <w:rPr>
          <w:rFonts w:ascii="Aptos" w:hAnsi="Aptos"/>
        </w:rPr>
        <w:t xml:space="preserve"> </w:t>
      </w:r>
      <w:r w:rsidRPr="00867F19">
        <w:rPr>
          <w:rFonts w:ascii="Aptos" w:hAnsi="Aptos"/>
        </w:rPr>
        <w:t xml:space="preserve">περιθώριο </w:t>
      </w:r>
      <w:r w:rsidR="00731F86">
        <w:rPr>
          <w:rFonts w:ascii="Aptos" w:hAnsi="Aptos"/>
        </w:rPr>
        <w:t>να φτάν</w:t>
      </w:r>
      <w:r w:rsidR="00A83DE6">
        <w:rPr>
          <w:rFonts w:ascii="Aptos" w:hAnsi="Aptos"/>
        </w:rPr>
        <w:t>ει</w:t>
      </w:r>
      <w:r w:rsidR="00731F86">
        <w:rPr>
          <w:rFonts w:ascii="Aptos" w:hAnsi="Aptos"/>
        </w:rPr>
        <w:t xml:space="preserve"> το </w:t>
      </w:r>
      <w:r w:rsidRPr="00867F19">
        <w:rPr>
          <w:rFonts w:ascii="Aptos" w:hAnsi="Aptos"/>
        </w:rPr>
        <w:t xml:space="preserve">16,6%. Η διαφοροποίηση </w:t>
      </w:r>
      <w:r w:rsidR="00731F86">
        <w:rPr>
          <w:rFonts w:ascii="Aptos" w:hAnsi="Aptos"/>
        </w:rPr>
        <w:t xml:space="preserve">στα έργα </w:t>
      </w:r>
      <w:r w:rsidR="00F52CE5">
        <w:rPr>
          <w:rFonts w:ascii="Aptos" w:hAnsi="Aptos"/>
        </w:rPr>
        <w:t xml:space="preserve">που αναλαμβάνει ο τομέας </w:t>
      </w:r>
      <w:r w:rsidRPr="00867F19">
        <w:rPr>
          <w:rFonts w:ascii="Aptos" w:hAnsi="Aptos"/>
        </w:rPr>
        <w:t xml:space="preserve">και η λειτουργική πειθαρχία </w:t>
      </w:r>
      <w:r w:rsidR="00DA3B84">
        <w:rPr>
          <w:rFonts w:ascii="Aptos" w:hAnsi="Aptos"/>
        </w:rPr>
        <w:t>έδρασαν υποστηρικτικά για</w:t>
      </w:r>
      <w:r w:rsidRPr="00867F19">
        <w:rPr>
          <w:rFonts w:ascii="Aptos" w:hAnsi="Aptos"/>
        </w:rPr>
        <w:t xml:space="preserve"> τις επιδόσεις του τομέα, ενώ το </w:t>
      </w:r>
      <w:r w:rsidRPr="00867F19">
        <w:rPr>
          <w:rFonts w:ascii="Aptos" w:hAnsi="Aptos"/>
        </w:rPr>
        <w:lastRenderedPageBreak/>
        <w:t xml:space="preserve">ανεκτέλεστο υπόλοιπο παραγγελιών διατηρήθηκε περίπου στα 500 εκατ. ευρώ, </w:t>
      </w:r>
      <w:r w:rsidR="00DA3B84">
        <w:rPr>
          <w:rFonts w:ascii="Aptos" w:hAnsi="Aptos"/>
        </w:rPr>
        <w:t>με</w:t>
      </w:r>
      <w:r w:rsidRPr="00867F19">
        <w:rPr>
          <w:rFonts w:ascii="Aptos" w:hAnsi="Aptos"/>
        </w:rPr>
        <w:t xml:space="preserve"> ικανοποιητική ορατότητα </w:t>
      </w:r>
      <w:r w:rsidR="00267796">
        <w:rPr>
          <w:rFonts w:ascii="Aptos" w:hAnsi="Aptos"/>
        </w:rPr>
        <w:t>για το άμεσο μέλλον</w:t>
      </w:r>
      <w:r w:rsidRPr="00867F19">
        <w:rPr>
          <w:rFonts w:ascii="Aptos" w:hAnsi="Aptos"/>
        </w:rPr>
        <w:t>.</w:t>
      </w:r>
    </w:p>
    <w:bookmarkEnd w:id="1"/>
    <w:p w14:paraId="18A12FFF" w14:textId="77777777" w:rsidR="00867F19" w:rsidRPr="00267796" w:rsidRDefault="00867F19" w:rsidP="005E0EB8">
      <w:pPr>
        <w:pStyle w:val="Caption"/>
        <w:keepNext/>
        <w:spacing w:after="120"/>
        <w:rPr>
          <w:rFonts w:ascii="Aptos" w:eastAsia="SimSun" w:hAnsi="Aptos" w:cs="Calibri"/>
          <w:b/>
          <w:bCs/>
          <w:i w:val="0"/>
          <w:iCs w:val="0"/>
          <w:color w:val="4F6228"/>
          <w:sz w:val="24"/>
          <w:szCs w:val="24"/>
        </w:rPr>
      </w:pPr>
      <w:r w:rsidRPr="00267796">
        <w:rPr>
          <w:rFonts w:ascii="Aptos" w:eastAsia="SimSun" w:hAnsi="Aptos" w:cs="Calibri"/>
          <w:b/>
          <w:bCs/>
          <w:i w:val="0"/>
          <w:iCs w:val="0"/>
          <w:color w:val="4F6228"/>
          <w:sz w:val="24"/>
          <w:szCs w:val="24"/>
        </w:rPr>
        <w:t>Οικονομική Επισκόπηση Ομίλου</w:t>
      </w:r>
    </w:p>
    <w:p w14:paraId="5D0D8A51" w14:textId="656F30E6" w:rsidR="005E29CB" w:rsidRPr="00267796" w:rsidRDefault="00867F19" w:rsidP="005E0EB8">
      <w:pPr>
        <w:pStyle w:val="Caption"/>
        <w:keepNext/>
        <w:spacing w:after="120"/>
        <w:rPr>
          <w:rFonts w:ascii="Aptos" w:hAnsi="Aptos"/>
          <w:b/>
          <w:bCs/>
          <w:i w:val="0"/>
          <w:iCs w:val="0"/>
          <w:sz w:val="22"/>
          <w:szCs w:val="22"/>
        </w:rPr>
      </w:pPr>
      <w:r w:rsidRPr="00267796">
        <w:rPr>
          <w:rFonts w:ascii="Aptos" w:hAnsi="Aptos"/>
          <w:b/>
          <w:bCs/>
          <w:i w:val="0"/>
          <w:iCs w:val="0"/>
          <w:sz w:val="22"/>
          <w:szCs w:val="22"/>
        </w:rPr>
        <w:t>Ανάλυση κερδοφορίας</w:t>
      </w:r>
    </w:p>
    <w:tbl>
      <w:tblPr>
        <w:tblW w:w="9913" w:type="dxa"/>
        <w:tblLayout w:type="fixed"/>
        <w:tblLook w:val="04A0" w:firstRow="1" w:lastRow="0" w:firstColumn="1" w:lastColumn="0" w:noHBand="0" w:noVBand="1"/>
      </w:tblPr>
      <w:tblGrid>
        <w:gridCol w:w="2967"/>
        <w:gridCol w:w="1157"/>
        <w:gridCol w:w="1158"/>
        <w:gridCol w:w="1158"/>
        <w:gridCol w:w="1157"/>
        <w:gridCol w:w="1158"/>
        <w:gridCol w:w="1158"/>
      </w:tblGrid>
      <w:tr w:rsidR="00174A46" w:rsidRPr="00BE5E19" w14:paraId="7B13CBD0" w14:textId="77777777" w:rsidTr="008A2665">
        <w:trPr>
          <w:trHeight w:val="252"/>
          <w:tblHeader/>
        </w:trPr>
        <w:tc>
          <w:tcPr>
            <w:tcW w:w="2967" w:type="dxa"/>
            <w:tcBorders>
              <w:top w:val="single" w:sz="8" w:space="0" w:color="A8D08D"/>
              <w:left w:val="single" w:sz="8" w:space="0" w:color="A8D08D"/>
              <w:bottom w:val="single" w:sz="8" w:space="0" w:color="A8D08D"/>
              <w:right w:val="single" w:sz="8" w:space="0" w:color="A8D08D"/>
            </w:tcBorders>
            <w:shd w:val="clear" w:color="000000" w:fill="476C2E"/>
            <w:noWrap/>
            <w:vAlign w:val="bottom"/>
            <w:hideMark/>
          </w:tcPr>
          <w:p w14:paraId="6B8F5E9E" w14:textId="4F758D10" w:rsidR="00174A46" w:rsidRPr="00BE5E19" w:rsidRDefault="00174A46" w:rsidP="00174A46">
            <w:pPr>
              <w:spacing w:after="120" w:line="240" w:lineRule="auto"/>
              <w:rPr>
                <w:rFonts w:ascii="Aptos" w:eastAsia="Times New Roman" w:hAnsi="Aptos" w:cs="Calibri"/>
                <w:b/>
                <w:bCs/>
                <w:i/>
                <w:iCs/>
                <w:color w:val="FFFFFF"/>
                <w:sz w:val="20"/>
                <w:szCs w:val="20"/>
                <w:lang w:val="en-GB"/>
              </w:rPr>
            </w:pPr>
            <w:r w:rsidRPr="0037795B">
              <w:rPr>
                <w:rFonts w:eastAsia="Times New Roman" w:cs="Calibri"/>
                <w:b/>
                <w:bCs/>
                <w:i/>
                <w:iCs/>
                <w:color w:val="FFFFFF"/>
                <w:sz w:val="20"/>
                <w:szCs w:val="20"/>
              </w:rPr>
              <w:t>Ποσά σε χιλιάδες ευρώ</w:t>
            </w:r>
          </w:p>
        </w:tc>
        <w:tc>
          <w:tcPr>
            <w:tcW w:w="1157" w:type="dxa"/>
            <w:tcBorders>
              <w:top w:val="single" w:sz="8" w:space="0" w:color="A8D08D"/>
              <w:left w:val="nil"/>
              <w:bottom w:val="single" w:sz="8" w:space="0" w:color="A8D08D"/>
              <w:right w:val="single" w:sz="8" w:space="0" w:color="A8D08D"/>
            </w:tcBorders>
            <w:shd w:val="clear" w:color="000000" w:fill="476C2E"/>
            <w:noWrap/>
            <w:vAlign w:val="center"/>
            <w:hideMark/>
          </w:tcPr>
          <w:p w14:paraId="160D8F1D" w14:textId="77777777" w:rsidR="00174A46" w:rsidRDefault="00174A46" w:rsidP="00174A46">
            <w:pPr>
              <w:spacing w:after="0" w:line="240" w:lineRule="auto"/>
              <w:jc w:val="center"/>
              <w:rPr>
                <w:rFonts w:cs="Calibri"/>
                <w:b/>
                <w:bCs/>
                <w:color w:val="FFFFFF"/>
                <w:sz w:val="20"/>
                <w:szCs w:val="20"/>
              </w:rPr>
            </w:pPr>
            <w:r w:rsidRPr="006C0543">
              <w:rPr>
                <w:b/>
                <w:color w:val="FFFFFF"/>
                <w:sz w:val="20"/>
              </w:rPr>
              <w:t>1ο εξ.</w:t>
            </w:r>
          </w:p>
          <w:p w14:paraId="762DC3B7" w14:textId="77D026E8" w:rsidR="00174A46" w:rsidRPr="00BE5E19" w:rsidRDefault="00174A46" w:rsidP="00174A46">
            <w:pPr>
              <w:spacing w:after="0" w:line="240" w:lineRule="auto"/>
              <w:jc w:val="center"/>
              <w:rPr>
                <w:rFonts w:ascii="Aptos" w:hAnsi="Aptos" w:cs="Calibri"/>
                <w:b/>
                <w:bCs/>
                <w:color w:val="FFFFFF"/>
                <w:sz w:val="20"/>
                <w:szCs w:val="20"/>
                <w:lang w:val="en-US"/>
              </w:rPr>
            </w:pPr>
            <w:r>
              <w:rPr>
                <w:rFonts w:cs="Calibri"/>
                <w:b/>
                <w:bCs/>
                <w:color w:val="FFFFFF"/>
                <w:sz w:val="20"/>
                <w:szCs w:val="20"/>
              </w:rPr>
              <w:t>2026</w:t>
            </w:r>
          </w:p>
        </w:tc>
        <w:tc>
          <w:tcPr>
            <w:tcW w:w="1158" w:type="dxa"/>
            <w:tcBorders>
              <w:top w:val="single" w:sz="8" w:space="0" w:color="A8D08D"/>
              <w:left w:val="nil"/>
              <w:bottom w:val="single" w:sz="8" w:space="0" w:color="A8D08D"/>
              <w:right w:val="single" w:sz="8" w:space="0" w:color="A8D08D"/>
            </w:tcBorders>
            <w:shd w:val="clear" w:color="000000" w:fill="476C2E"/>
            <w:noWrap/>
            <w:vAlign w:val="center"/>
            <w:hideMark/>
          </w:tcPr>
          <w:p w14:paraId="11AC6A87" w14:textId="77777777" w:rsidR="00174A46" w:rsidRDefault="00174A46" w:rsidP="00174A46">
            <w:pPr>
              <w:spacing w:after="0" w:line="240" w:lineRule="auto"/>
              <w:jc w:val="center"/>
              <w:rPr>
                <w:rFonts w:cs="Calibri"/>
                <w:b/>
                <w:bCs/>
                <w:color w:val="FFFFFF"/>
                <w:sz w:val="20"/>
                <w:szCs w:val="20"/>
              </w:rPr>
            </w:pPr>
            <w:r w:rsidRPr="006C0543">
              <w:rPr>
                <w:b/>
                <w:color w:val="FFFFFF"/>
                <w:sz w:val="20"/>
              </w:rPr>
              <w:t>1ο εξ.</w:t>
            </w:r>
          </w:p>
          <w:p w14:paraId="54BA281C" w14:textId="293EA5B1" w:rsidR="00174A46" w:rsidRPr="00BE5E19" w:rsidRDefault="00174A46" w:rsidP="00174A46">
            <w:pPr>
              <w:spacing w:after="0" w:line="240" w:lineRule="auto"/>
              <w:jc w:val="center"/>
              <w:rPr>
                <w:rFonts w:ascii="Aptos" w:hAnsi="Aptos" w:cs="Calibri"/>
                <w:b/>
                <w:bCs/>
                <w:color w:val="FFFFFF"/>
                <w:sz w:val="20"/>
                <w:szCs w:val="20"/>
                <w:lang w:val="en-US"/>
              </w:rPr>
            </w:pPr>
            <w:r>
              <w:rPr>
                <w:rFonts w:cs="Calibri"/>
                <w:b/>
                <w:bCs/>
                <w:color w:val="FFFFFF"/>
                <w:sz w:val="20"/>
                <w:szCs w:val="20"/>
              </w:rPr>
              <w:t>2025</w:t>
            </w:r>
          </w:p>
        </w:tc>
        <w:tc>
          <w:tcPr>
            <w:tcW w:w="1158" w:type="dxa"/>
            <w:tcBorders>
              <w:top w:val="single" w:sz="8" w:space="0" w:color="A8D08D"/>
              <w:left w:val="nil"/>
              <w:bottom w:val="single" w:sz="8" w:space="0" w:color="A8D08D"/>
              <w:right w:val="single" w:sz="8" w:space="0" w:color="A8D08D"/>
            </w:tcBorders>
            <w:shd w:val="clear" w:color="000000" w:fill="476C2E"/>
            <w:vAlign w:val="center"/>
          </w:tcPr>
          <w:p w14:paraId="04A191EB" w14:textId="7412F2E1" w:rsidR="00174A46" w:rsidRPr="00BE5E19" w:rsidRDefault="00174A46" w:rsidP="00174A46">
            <w:pPr>
              <w:spacing w:after="0" w:line="240" w:lineRule="auto"/>
              <w:jc w:val="center"/>
              <w:rPr>
                <w:rFonts w:ascii="Aptos" w:eastAsia="Times New Roman" w:hAnsi="Aptos" w:cs="Calibri"/>
                <w:b/>
                <w:bCs/>
                <w:color w:val="FFFFFF"/>
                <w:sz w:val="20"/>
                <w:szCs w:val="20"/>
                <w:lang w:val="en-GB"/>
              </w:rPr>
            </w:pPr>
            <w:r>
              <w:rPr>
                <w:rFonts w:cs="Calibri"/>
                <w:b/>
                <w:bCs/>
                <w:color w:val="FFFFFF"/>
                <w:sz w:val="20"/>
                <w:szCs w:val="20"/>
              </w:rPr>
              <w:t>Μεταβολή</w:t>
            </w:r>
            <w:r w:rsidRPr="00C62621">
              <w:rPr>
                <w:rFonts w:cs="Calibri"/>
                <w:b/>
                <w:bCs/>
                <w:color w:val="FFFFFF"/>
                <w:sz w:val="20"/>
                <w:szCs w:val="20"/>
                <w:lang w:val="en-GB"/>
              </w:rPr>
              <w:t xml:space="preserve"> (%)</w:t>
            </w:r>
          </w:p>
        </w:tc>
        <w:tc>
          <w:tcPr>
            <w:tcW w:w="1157" w:type="dxa"/>
            <w:tcBorders>
              <w:top w:val="single" w:sz="8" w:space="0" w:color="A8D08D"/>
              <w:left w:val="nil"/>
              <w:bottom w:val="single" w:sz="8" w:space="0" w:color="A8D08D"/>
              <w:right w:val="single" w:sz="8" w:space="0" w:color="A8D08D"/>
            </w:tcBorders>
            <w:shd w:val="clear" w:color="000000" w:fill="476C2E"/>
            <w:vAlign w:val="center"/>
          </w:tcPr>
          <w:p w14:paraId="1761D1C9" w14:textId="77777777" w:rsidR="00174A46" w:rsidRPr="00C62621" w:rsidRDefault="00174A46" w:rsidP="00174A46">
            <w:pPr>
              <w:spacing w:after="0" w:line="240" w:lineRule="auto"/>
              <w:jc w:val="center"/>
              <w:rPr>
                <w:rFonts w:cs="Calibri"/>
                <w:b/>
                <w:bCs/>
                <w:color w:val="FFFFFF"/>
                <w:sz w:val="20"/>
                <w:szCs w:val="20"/>
                <w:lang w:val="en-GB"/>
              </w:rPr>
            </w:pPr>
            <w:r>
              <w:rPr>
                <w:b/>
                <w:color w:val="FFFFFF"/>
                <w:sz w:val="20"/>
              </w:rPr>
              <w:t>2</w:t>
            </w:r>
            <w:r w:rsidRPr="006C0543">
              <w:rPr>
                <w:b/>
                <w:color w:val="FFFFFF"/>
                <w:sz w:val="20"/>
              </w:rPr>
              <w:t xml:space="preserve">ο </w:t>
            </w:r>
            <w:r>
              <w:rPr>
                <w:b/>
                <w:color w:val="FFFFFF"/>
                <w:sz w:val="20"/>
              </w:rPr>
              <w:t>τριμ</w:t>
            </w:r>
            <w:r w:rsidRPr="006C0543">
              <w:rPr>
                <w:b/>
                <w:color w:val="FFFFFF"/>
                <w:sz w:val="20"/>
              </w:rPr>
              <w:t>.</w:t>
            </w:r>
          </w:p>
          <w:p w14:paraId="45678C62" w14:textId="0B985B29" w:rsidR="00174A46" w:rsidRPr="00BE5E19" w:rsidRDefault="00174A46" w:rsidP="00174A46">
            <w:pPr>
              <w:spacing w:after="0" w:line="240" w:lineRule="auto"/>
              <w:jc w:val="center"/>
              <w:rPr>
                <w:rFonts w:ascii="Aptos" w:hAnsi="Aptos" w:cs="Calibri"/>
                <w:b/>
                <w:bCs/>
                <w:color w:val="FFFFFF"/>
                <w:sz w:val="20"/>
                <w:szCs w:val="20"/>
                <w:lang w:val="en-US"/>
              </w:rPr>
            </w:pPr>
            <w:r w:rsidRPr="00C62621">
              <w:rPr>
                <w:rFonts w:cs="Calibri"/>
                <w:b/>
                <w:bCs/>
                <w:color w:val="FFFFFF"/>
                <w:sz w:val="20"/>
                <w:szCs w:val="20"/>
                <w:lang w:val="en-GB"/>
              </w:rPr>
              <w:t>202</w:t>
            </w:r>
            <w:r>
              <w:rPr>
                <w:rFonts w:cs="Calibri"/>
                <w:b/>
                <w:bCs/>
                <w:color w:val="FFFFFF"/>
                <w:sz w:val="20"/>
                <w:szCs w:val="20"/>
              </w:rPr>
              <w:t>6</w:t>
            </w:r>
          </w:p>
        </w:tc>
        <w:tc>
          <w:tcPr>
            <w:tcW w:w="1158" w:type="dxa"/>
            <w:tcBorders>
              <w:top w:val="single" w:sz="8" w:space="0" w:color="A8D08D"/>
              <w:left w:val="nil"/>
              <w:bottom w:val="single" w:sz="8" w:space="0" w:color="A8D08D"/>
              <w:right w:val="single" w:sz="8" w:space="0" w:color="A8D08D"/>
            </w:tcBorders>
            <w:shd w:val="clear" w:color="000000" w:fill="476C2E"/>
            <w:vAlign w:val="center"/>
          </w:tcPr>
          <w:p w14:paraId="6A584E95" w14:textId="77777777" w:rsidR="00174A46" w:rsidRPr="00C62621" w:rsidRDefault="00174A46" w:rsidP="00174A46">
            <w:pPr>
              <w:spacing w:after="0" w:line="240" w:lineRule="auto"/>
              <w:jc w:val="center"/>
              <w:rPr>
                <w:rFonts w:cs="Calibri"/>
                <w:b/>
                <w:bCs/>
                <w:color w:val="FFFFFF"/>
                <w:sz w:val="20"/>
                <w:szCs w:val="20"/>
                <w:lang w:val="en-GB"/>
              </w:rPr>
            </w:pPr>
            <w:r>
              <w:rPr>
                <w:b/>
                <w:color w:val="FFFFFF"/>
                <w:sz w:val="20"/>
                <w:lang w:val="en-US"/>
              </w:rPr>
              <w:t>2</w:t>
            </w:r>
            <w:r w:rsidRPr="006C0543">
              <w:rPr>
                <w:b/>
                <w:color w:val="FFFFFF"/>
                <w:sz w:val="20"/>
              </w:rPr>
              <w:t xml:space="preserve">ο </w:t>
            </w:r>
            <w:r>
              <w:rPr>
                <w:b/>
                <w:color w:val="FFFFFF"/>
                <w:sz w:val="20"/>
              </w:rPr>
              <w:t>τριμ</w:t>
            </w:r>
            <w:r w:rsidRPr="006C0543">
              <w:rPr>
                <w:b/>
                <w:color w:val="FFFFFF"/>
                <w:sz w:val="20"/>
              </w:rPr>
              <w:t>.</w:t>
            </w:r>
          </w:p>
          <w:p w14:paraId="3081654B" w14:textId="3A4D3C9A" w:rsidR="00174A46" w:rsidRPr="00BE5E19" w:rsidRDefault="00174A46" w:rsidP="00174A46">
            <w:pPr>
              <w:spacing w:after="0" w:line="240" w:lineRule="auto"/>
              <w:jc w:val="center"/>
              <w:rPr>
                <w:rFonts w:ascii="Aptos" w:hAnsi="Aptos" w:cs="Calibri"/>
                <w:b/>
                <w:bCs/>
                <w:color w:val="FFFFFF"/>
                <w:sz w:val="20"/>
                <w:szCs w:val="20"/>
                <w:lang w:val="en-US"/>
              </w:rPr>
            </w:pPr>
            <w:r w:rsidRPr="00C62621">
              <w:rPr>
                <w:rFonts w:cs="Calibri"/>
                <w:b/>
                <w:bCs/>
                <w:color w:val="FFFFFF"/>
                <w:sz w:val="20"/>
                <w:szCs w:val="20"/>
                <w:lang w:val="en-GB"/>
              </w:rPr>
              <w:t>202</w:t>
            </w:r>
            <w:r>
              <w:rPr>
                <w:rFonts w:cs="Calibri"/>
                <w:b/>
                <w:bCs/>
                <w:color w:val="FFFFFF"/>
                <w:sz w:val="20"/>
                <w:szCs w:val="20"/>
              </w:rPr>
              <w:t>5</w:t>
            </w:r>
          </w:p>
        </w:tc>
        <w:tc>
          <w:tcPr>
            <w:tcW w:w="1158" w:type="dxa"/>
            <w:tcBorders>
              <w:top w:val="single" w:sz="8" w:space="0" w:color="A8D08D"/>
              <w:left w:val="nil"/>
              <w:bottom w:val="single" w:sz="8" w:space="0" w:color="A8D08D"/>
              <w:right w:val="single" w:sz="8" w:space="0" w:color="A8D08D"/>
            </w:tcBorders>
            <w:shd w:val="clear" w:color="000000" w:fill="476C2E"/>
            <w:vAlign w:val="center"/>
          </w:tcPr>
          <w:p w14:paraId="6F17B1FB" w14:textId="1380C97C" w:rsidR="00174A46" w:rsidRPr="00BE5E19" w:rsidRDefault="00174A46" w:rsidP="00174A46">
            <w:pPr>
              <w:spacing w:after="0" w:line="240" w:lineRule="auto"/>
              <w:jc w:val="center"/>
              <w:rPr>
                <w:rFonts w:ascii="Aptos" w:hAnsi="Aptos" w:cs="Calibri"/>
                <w:b/>
                <w:bCs/>
                <w:color w:val="FFFFFF"/>
                <w:sz w:val="20"/>
                <w:szCs w:val="20"/>
                <w:lang w:val="en-GB"/>
              </w:rPr>
            </w:pPr>
            <w:r>
              <w:rPr>
                <w:rFonts w:cs="Calibri"/>
                <w:b/>
                <w:bCs/>
                <w:color w:val="FFFFFF"/>
                <w:sz w:val="20"/>
                <w:szCs w:val="20"/>
              </w:rPr>
              <w:t>Μεταβολή</w:t>
            </w:r>
            <w:r w:rsidRPr="00C62621">
              <w:rPr>
                <w:rFonts w:cs="Calibri"/>
                <w:b/>
                <w:bCs/>
                <w:color w:val="FFFFFF"/>
                <w:sz w:val="20"/>
                <w:szCs w:val="20"/>
                <w:lang w:val="en-GB"/>
              </w:rPr>
              <w:t xml:space="preserve"> (%)</w:t>
            </w:r>
          </w:p>
        </w:tc>
      </w:tr>
      <w:tr w:rsidR="00174A46" w:rsidRPr="00BE5E19" w14:paraId="0ED5E441"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noWrap/>
            <w:vAlign w:val="center"/>
            <w:hideMark/>
          </w:tcPr>
          <w:p w14:paraId="417EDE7A" w14:textId="1584ECC7" w:rsidR="00174A46" w:rsidRPr="00BE5E19" w:rsidRDefault="00174A46" w:rsidP="00174A46">
            <w:pPr>
              <w:spacing w:after="120" w:line="240" w:lineRule="auto"/>
              <w:jc w:val="both"/>
              <w:rPr>
                <w:rFonts w:ascii="Aptos" w:eastAsia="Times New Roman" w:hAnsi="Aptos" w:cs="Calibri"/>
                <w:b/>
                <w:bCs/>
                <w:color w:val="000000"/>
                <w:sz w:val="20"/>
                <w:szCs w:val="20"/>
                <w:lang w:val="en-GB"/>
              </w:rPr>
            </w:pPr>
            <w:r w:rsidRPr="0037795B">
              <w:rPr>
                <w:rFonts w:asciiTheme="minorHAnsi" w:hAnsiTheme="minorHAnsi" w:cstheme="minorHAnsi"/>
                <w:b/>
                <w:bCs/>
                <w:sz w:val="20"/>
                <w:szCs w:val="20"/>
              </w:rPr>
              <w:t>Πωλήσεις</w:t>
            </w:r>
          </w:p>
        </w:tc>
        <w:tc>
          <w:tcPr>
            <w:tcW w:w="1157" w:type="dxa"/>
            <w:tcBorders>
              <w:top w:val="nil"/>
              <w:left w:val="nil"/>
              <w:bottom w:val="single" w:sz="8" w:space="0" w:color="A8D08D"/>
              <w:right w:val="single" w:sz="8" w:space="0" w:color="A8D08D"/>
            </w:tcBorders>
            <w:shd w:val="clear" w:color="000000" w:fill="E2EFD9"/>
            <w:noWrap/>
            <w:vAlign w:val="center"/>
          </w:tcPr>
          <w:p w14:paraId="3B29C829" w14:textId="2AAAFE7B"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w:t>
            </w:r>
            <w:r>
              <w:rPr>
                <w:rFonts w:ascii="Aptos" w:hAnsi="Aptos" w:cs="Calibri"/>
                <w:b/>
                <w:bCs/>
                <w:color w:val="000000"/>
                <w:sz w:val="20"/>
                <w:szCs w:val="20"/>
              </w:rPr>
              <w:t>.</w:t>
            </w:r>
            <w:r w:rsidRPr="00BE5E19">
              <w:rPr>
                <w:rFonts w:ascii="Aptos" w:hAnsi="Aptos" w:cs="Calibri"/>
                <w:b/>
                <w:bCs/>
                <w:color w:val="000000"/>
                <w:sz w:val="20"/>
                <w:szCs w:val="20"/>
              </w:rPr>
              <w:t>153</w:t>
            </w:r>
            <w:r>
              <w:rPr>
                <w:rFonts w:ascii="Aptos" w:hAnsi="Aptos" w:cs="Calibri"/>
                <w:b/>
                <w:bCs/>
                <w:color w:val="000000"/>
                <w:sz w:val="20"/>
                <w:szCs w:val="20"/>
              </w:rPr>
              <w:t>.</w:t>
            </w:r>
            <w:r w:rsidRPr="00BE5E19">
              <w:rPr>
                <w:rFonts w:ascii="Aptos" w:hAnsi="Aptos" w:cs="Calibri"/>
                <w:b/>
                <w:bCs/>
                <w:color w:val="000000"/>
                <w:sz w:val="20"/>
                <w:szCs w:val="20"/>
              </w:rPr>
              <w:t>200</w:t>
            </w:r>
          </w:p>
        </w:tc>
        <w:tc>
          <w:tcPr>
            <w:tcW w:w="1158" w:type="dxa"/>
            <w:tcBorders>
              <w:top w:val="nil"/>
              <w:left w:val="nil"/>
              <w:bottom w:val="single" w:sz="8" w:space="0" w:color="A8D08D"/>
              <w:right w:val="single" w:sz="8" w:space="0" w:color="A8D08D"/>
            </w:tcBorders>
            <w:shd w:val="clear" w:color="000000" w:fill="E2EFD9"/>
            <w:noWrap/>
            <w:vAlign w:val="center"/>
          </w:tcPr>
          <w:p w14:paraId="4CF09E91" w14:textId="122E97DC"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w:t>
            </w:r>
            <w:r>
              <w:rPr>
                <w:rFonts w:ascii="Aptos" w:hAnsi="Aptos" w:cs="Calibri"/>
                <w:b/>
                <w:bCs/>
                <w:color w:val="000000"/>
                <w:sz w:val="20"/>
                <w:szCs w:val="20"/>
              </w:rPr>
              <w:t>.</w:t>
            </w:r>
            <w:r w:rsidRPr="00BE5E19">
              <w:rPr>
                <w:rFonts w:ascii="Aptos" w:hAnsi="Aptos" w:cs="Calibri"/>
                <w:b/>
                <w:bCs/>
                <w:color w:val="000000"/>
                <w:sz w:val="20"/>
                <w:szCs w:val="20"/>
              </w:rPr>
              <w:t>022</w:t>
            </w:r>
            <w:r>
              <w:rPr>
                <w:rFonts w:ascii="Aptos" w:hAnsi="Aptos" w:cs="Calibri"/>
                <w:b/>
                <w:bCs/>
                <w:color w:val="000000"/>
                <w:sz w:val="20"/>
                <w:szCs w:val="20"/>
              </w:rPr>
              <w:t>.</w:t>
            </w:r>
            <w:r w:rsidRPr="00BE5E19">
              <w:rPr>
                <w:rFonts w:ascii="Aptos" w:hAnsi="Aptos" w:cs="Calibri"/>
                <w:b/>
                <w:bCs/>
                <w:color w:val="000000"/>
                <w:sz w:val="20"/>
                <w:szCs w:val="20"/>
              </w:rPr>
              <w:t>220</w:t>
            </w:r>
          </w:p>
        </w:tc>
        <w:tc>
          <w:tcPr>
            <w:tcW w:w="1158" w:type="dxa"/>
            <w:tcBorders>
              <w:top w:val="nil"/>
              <w:left w:val="nil"/>
              <w:bottom w:val="single" w:sz="8" w:space="0" w:color="A8D08D"/>
              <w:right w:val="single" w:sz="8" w:space="0" w:color="A8D08D"/>
            </w:tcBorders>
            <w:shd w:val="clear" w:color="000000" w:fill="E2EFD9"/>
            <w:vAlign w:val="center"/>
          </w:tcPr>
          <w:p w14:paraId="45FFFA11" w14:textId="316CCAD6" w:rsidR="00174A46" w:rsidRPr="00BE5E19" w:rsidRDefault="00174A46" w:rsidP="00174A46">
            <w:pPr>
              <w:spacing w:after="120" w:line="240" w:lineRule="auto"/>
              <w:jc w:val="right"/>
              <w:rPr>
                <w:rFonts w:ascii="Aptos" w:hAnsi="Aptos" w:cs="Calibri"/>
                <w:b/>
                <w:bCs/>
                <w:color w:val="000000"/>
                <w:sz w:val="20"/>
                <w:szCs w:val="20"/>
                <w:lang w:val="en-GB"/>
              </w:rPr>
            </w:pPr>
            <w:r w:rsidRPr="00BE5E19">
              <w:rPr>
                <w:rFonts w:ascii="Aptos" w:hAnsi="Aptos" w:cs="Calibri"/>
                <w:b/>
                <w:bCs/>
                <w:i/>
                <w:iCs/>
                <w:color w:val="000000"/>
                <w:sz w:val="20"/>
                <w:szCs w:val="20"/>
              </w:rPr>
              <w:t>13%</w:t>
            </w:r>
          </w:p>
        </w:tc>
        <w:tc>
          <w:tcPr>
            <w:tcW w:w="1157" w:type="dxa"/>
            <w:tcBorders>
              <w:top w:val="nil"/>
              <w:left w:val="nil"/>
              <w:bottom w:val="single" w:sz="8" w:space="0" w:color="A8D08D"/>
              <w:right w:val="single" w:sz="8" w:space="0" w:color="A8D08D"/>
            </w:tcBorders>
            <w:shd w:val="clear" w:color="000000" w:fill="E2EFD9"/>
            <w:vAlign w:val="center"/>
          </w:tcPr>
          <w:p w14:paraId="08292C68" w14:textId="67FF612B"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642</w:t>
            </w:r>
            <w:r>
              <w:rPr>
                <w:rFonts w:ascii="Aptos" w:hAnsi="Aptos" w:cs="Calibri"/>
                <w:b/>
                <w:bCs/>
                <w:color w:val="000000"/>
                <w:sz w:val="20"/>
                <w:szCs w:val="20"/>
              </w:rPr>
              <w:t>.</w:t>
            </w:r>
            <w:r w:rsidRPr="00BE5E19">
              <w:rPr>
                <w:rFonts w:ascii="Aptos" w:hAnsi="Aptos" w:cs="Calibri"/>
                <w:b/>
                <w:bCs/>
                <w:color w:val="000000"/>
                <w:sz w:val="20"/>
                <w:szCs w:val="20"/>
              </w:rPr>
              <w:t>482</w:t>
            </w:r>
          </w:p>
        </w:tc>
        <w:tc>
          <w:tcPr>
            <w:tcW w:w="1158" w:type="dxa"/>
            <w:tcBorders>
              <w:top w:val="nil"/>
              <w:left w:val="nil"/>
              <w:bottom w:val="single" w:sz="8" w:space="0" w:color="A8D08D"/>
              <w:right w:val="single" w:sz="8" w:space="0" w:color="A8D08D"/>
            </w:tcBorders>
            <w:shd w:val="clear" w:color="000000" w:fill="E2EFD9"/>
            <w:vAlign w:val="center"/>
          </w:tcPr>
          <w:p w14:paraId="2E99372C" w14:textId="7DDBA015"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534</w:t>
            </w:r>
            <w:r>
              <w:rPr>
                <w:rFonts w:ascii="Aptos" w:hAnsi="Aptos" w:cs="Calibri"/>
                <w:b/>
                <w:bCs/>
                <w:color w:val="000000"/>
                <w:sz w:val="20"/>
                <w:szCs w:val="20"/>
              </w:rPr>
              <w:t>.</w:t>
            </w:r>
            <w:r w:rsidRPr="00BE5E19">
              <w:rPr>
                <w:rFonts w:ascii="Aptos" w:hAnsi="Aptos" w:cs="Calibri"/>
                <w:b/>
                <w:bCs/>
                <w:color w:val="000000"/>
                <w:sz w:val="20"/>
                <w:szCs w:val="20"/>
              </w:rPr>
              <w:t>319</w:t>
            </w:r>
          </w:p>
        </w:tc>
        <w:tc>
          <w:tcPr>
            <w:tcW w:w="1158" w:type="dxa"/>
            <w:tcBorders>
              <w:top w:val="nil"/>
              <w:left w:val="nil"/>
              <w:bottom w:val="single" w:sz="8" w:space="0" w:color="A8D08D"/>
              <w:right w:val="single" w:sz="8" w:space="0" w:color="A8D08D"/>
            </w:tcBorders>
            <w:shd w:val="clear" w:color="000000" w:fill="E2EFD9"/>
            <w:vAlign w:val="center"/>
          </w:tcPr>
          <w:p w14:paraId="46E65EF6" w14:textId="68E2B688"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20%</w:t>
            </w:r>
          </w:p>
        </w:tc>
      </w:tr>
      <w:tr w:rsidR="00174A46" w:rsidRPr="00BE5E19" w14:paraId="63877E45"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3EA23FC5" w14:textId="6789167E" w:rsidR="00174A46" w:rsidRPr="00BE5E19" w:rsidRDefault="00174A46" w:rsidP="00174A46">
            <w:pPr>
              <w:spacing w:after="120" w:line="240" w:lineRule="auto"/>
              <w:jc w:val="both"/>
              <w:rPr>
                <w:rFonts w:ascii="Aptos" w:eastAsia="Times New Roman" w:hAnsi="Aptos" w:cs="Calibri"/>
                <w:color w:val="000000"/>
                <w:sz w:val="20"/>
                <w:szCs w:val="20"/>
                <w:lang w:val="en-GB"/>
              </w:rPr>
            </w:pPr>
            <w:r w:rsidRPr="0037795B">
              <w:rPr>
                <w:rFonts w:asciiTheme="minorHAnsi" w:hAnsiTheme="minorHAnsi" w:cstheme="minorHAnsi"/>
                <w:sz w:val="20"/>
                <w:szCs w:val="20"/>
              </w:rPr>
              <w:t>Μικτό κέρδος</w:t>
            </w:r>
          </w:p>
        </w:tc>
        <w:tc>
          <w:tcPr>
            <w:tcW w:w="1157" w:type="dxa"/>
            <w:tcBorders>
              <w:top w:val="nil"/>
              <w:left w:val="nil"/>
              <w:bottom w:val="single" w:sz="8" w:space="0" w:color="A8D08D"/>
              <w:right w:val="single" w:sz="8" w:space="0" w:color="A8D08D"/>
            </w:tcBorders>
            <w:shd w:val="clear" w:color="000000" w:fill="FFFFFF"/>
            <w:noWrap/>
            <w:vAlign w:val="center"/>
          </w:tcPr>
          <w:p w14:paraId="71753E35" w14:textId="5949041C"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239</w:t>
            </w:r>
            <w:r>
              <w:rPr>
                <w:rFonts w:ascii="Aptos" w:hAnsi="Aptos" w:cs="Calibri"/>
                <w:color w:val="000000"/>
                <w:sz w:val="20"/>
                <w:szCs w:val="20"/>
              </w:rPr>
              <w:t>.</w:t>
            </w:r>
            <w:r w:rsidRPr="00BE5E19">
              <w:rPr>
                <w:rFonts w:ascii="Aptos" w:hAnsi="Aptos" w:cs="Calibri"/>
                <w:color w:val="000000"/>
                <w:sz w:val="20"/>
                <w:szCs w:val="20"/>
              </w:rPr>
              <w:t>988</w:t>
            </w:r>
          </w:p>
        </w:tc>
        <w:tc>
          <w:tcPr>
            <w:tcW w:w="1158" w:type="dxa"/>
            <w:tcBorders>
              <w:top w:val="nil"/>
              <w:left w:val="nil"/>
              <w:bottom w:val="single" w:sz="8" w:space="0" w:color="A8D08D"/>
              <w:right w:val="single" w:sz="8" w:space="0" w:color="A8D08D"/>
            </w:tcBorders>
            <w:shd w:val="clear" w:color="000000" w:fill="FFFFFF"/>
            <w:noWrap/>
            <w:vAlign w:val="center"/>
          </w:tcPr>
          <w:p w14:paraId="39E068B2" w14:textId="16AC0E29" w:rsidR="00174A46" w:rsidRPr="006C77F2" w:rsidRDefault="00174A46" w:rsidP="00174A46">
            <w:pPr>
              <w:spacing w:after="120" w:line="240" w:lineRule="auto"/>
              <w:jc w:val="right"/>
              <w:rPr>
                <w:rFonts w:ascii="Aptos" w:eastAsia="Times New Roman" w:hAnsi="Aptos" w:cs="Calibri"/>
                <w:color w:val="000000"/>
                <w:sz w:val="20"/>
                <w:szCs w:val="20"/>
                <w:lang w:val="en-GB"/>
              </w:rPr>
            </w:pPr>
            <w:r w:rsidRPr="006C77F2">
              <w:rPr>
                <w:rFonts w:ascii="Aptos" w:hAnsi="Aptos" w:cs="Calibri"/>
                <w:color w:val="000000"/>
                <w:sz w:val="20"/>
                <w:szCs w:val="20"/>
              </w:rPr>
              <w:t>185.099</w:t>
            </w:r>
          </w:p>
        </w:tc>
        <w:tc>
          <w:tcPr>
            <w:tcW w:w="1158" w:type="dxa"/>
            <w:tcBorders>
              <w:top w:val="nil"/>
              <w:left w:val="nil"/>
              <w:bottom w:val="single" w:sz="8" w:space="0" w:color="A8D08D"/>
              <w:right w:val="single" w:sz="8" w:space="0" w:color="A8D08D"/>
            </w:tcBorders>
            <w:shd w:val="clear" w:color="000000" w:fill="FFFFFF"/>
            <w:vAlign w:val="center"/>
          </w:tcPr>
          <w:p w14:paraId="711D4ECD" w14:textId="59BE3B1E" w:rsidR="00174A46" w:rsidRPr="006C77F2" w:rsidRDefault="00174A46" w:rsidP="00174A46">
            <w:pPr>
              <w:spacing w:after="120" w:line="240" w:lineRule="auto"/>
              <w:jc w:val="right"/>
              <w:rPr>
                <w:rFonts w:ascii="Aptos" w:hAnsi="Aptos" w:cs="Calibri"/>
                <w:color w:val="000000"/>
                <w:sz w:val="20"/>
                <w:szCs w:val="20"/>
                <w:lang w:val="en-GB"/>
              </w:rPr>
            </w:pPr>
            <w:r w:rsidRPr="006C77F2">
              <w:rPr>
                <w:rFonts w:ascii="Aptos" w:hAnsi="Aptos" w:cs="Calibri"/>
                <w:i/>
                <w:iCs/>
                <w:color w:val="000000"/>
                <w:sz w:val="20"/>
                <w:szCs w:val="20"/>
              </w:rPr>
              <w:t>30%</w:t>
            </w:r>
          </w:p>
        </w:tc>
        <w:tc>
          <w:tcPr>
            <w:tcW w:w="1157" w:type="dxa"/>
            <w:tcBorders>
              <w:top w:val="nil"/>
              <w:left w:val="nil"/>
              <w:bottom w:val="single" w:sz="8" w:space="0" w:color="A8D08D"/>
              <w:right w:val="single" w:sz="8" w:space="0" w:color="A8D08D"/>
            </w:tcBorders>
            <w:shd w:val="clear" w:color="000000" w:fill="FFFFFF"/>
            <w:vAlign w:val="center"/>
          </w:tcPr>
          <w:p w14:paraId="0C64FC05" w14:textId="63A177A7" w:rsidR="00174A46" w:rsidRPr="006C77F2" w:rsidRDefault="00174A46" w:rsidP="00174A46">
            <w:pPr>
              <w:spacing w:after="120" w:line="240" w:lineRule="auto"/>
              <w:jc w:val="right"/>
              <w:rPr>
                <w:rFonts w:ascii="Aptos" w:hAnsi="Aptos" w:cs="Calibri"/>
                <w:i/>
                <w:iCs/>
                <w:color w:val="000000"/>
                <w:sz w:val="20"/>
                <w:szCs w:val="20"/>
                <w:lang w:val="en-GB"/>
              </w:rPr>
            </w:pPr>
            <w:r w:rsidRPr="006C77F2">
              <w:rPr>
                <w:rFonts w:ascii="Aptos" w:hAnsi="Aptos" w:cs="Calibri"/>
                <w:color w:val="000000"/>
                <w:sz w:val="20"/>
                <w:szCs w:val="20"/>
              </w:rPr>
              <w:t>117.830</w:t>
            </w:r>
          </w:p>
        </w:tc>
        <w:tc>
          <w:tcPr>
            <w:tcW w:w="1158" w:type="dxa"/>
            <w:tcBorders>
              <w:top w:val="nil"/>
              <w:left w:val="nil"/>
              <w:bottom w:val="single" w:sz="8" w:space="0" w:color="A8D08D"/>
              <w:right w:val="single" w:sz="8" w:space="0" w:color="A8D08D"/>
            </w:tcBorders>
            <w:shd w:val="clear" w:color="000000" w:fill="FFFFFF"/>
            <w:vAlign w:val="center"/>
          </w:tcPr>
          <w:p w14:paraId="192514E0" w14:textId="2B7AB52A" w:rsidR="00174A46" w:rsidRPr="006C77F2" w:rsidRDefault="00174A46" w:rsidP="00174A46">
            <w:pPr>
              <w:spacing w:after="120" w:line="240" w:lineRule="auto"/>
              <w:jc w:val="right"/>
              <w:rPr>
                <w:rFonts w:ascii="Aptos" w:hAnsi="Aptos" w:cs="Calibri"/>
                <w:i/>
                <w:iCs/>
                <w:color w:val="000000"/>
                <w:sz w:val="20"/>
                <w:szCs w:val="20"/>
                <w:lang w:val="en-GB"/>
              </w:rPr>
            </w:pPr>
            <w:r w:rsidRPr="006C77F2">
              <w:rPr>
                <w:rFonts w:ascii="Aptos" w:hAnsi="Aptos" w:cs="Calibri"/>
                <w:color w:val="000000"/>
                <w:sz w:val="20"/>
                <w:szCs w:val="20"/>
              </w:rPr>
              <w:t>101.519</w:t>
            </w:r>
          </w:p>
        </w:tc>
        <w:tc>
          <w:tcPr>
            <w:tcW w:w="1158" w:type="dxa"/>
            <w:tcBorders>
              <w:top w:val="nil"/>
              <w:left w:val="nil"/>
              <w:bottom w:val="single" w:sz="8" w:space="0" w:color="A8D08D"/>
              <w:right w:val="single" w:sz="8" w:space="0" w:color="A8D08D"/>
            </w:tcBorders>
            <w:shd w:val="clear" w:color="000000" w:fill="FFFFFF"/>
            <w:vAlign w:val="center"/>
          </w:tcPr>
          <w:p w14:paraId="3E9E8CAC" w14:textId="1CDD2873" w:rsidR="00174A46" w:rsidRPr="006C77F2" w:rsidRDefault="00174A46" w:rsidP="00174A46">
            <w:pPr>
              <w:spacing w:after="120" w:line="240" w:lineRule="auto"/>
              <w:jc w:val="right"/>
              <w:rPr>
                <w:rFonts w:ascii="Aptos" w:hAnsi="Aptos" w:cs="Calibri"/>
                <w:i/>
                <w:iCs/>
                <w:color w:val="000000"/>
                <w:sz w:val="20"/>
                <w:szCs w:val="20"/>
                <w:lang w:val="en-GB"/>
              </w:rPr>
            </w:pPr>
            <w:r w:rsidRPr="006C77F2">
              <w:rPr>
                <w:rFonts w:ascii="Aptos" w:hAnsi="Aptos" w:cs="Calibri"/>
                <w:i/>
                <w:iCs/>
                <w:color w:val="000000"/>
                <w:sz w:val="20"/>
                <w:szCs w:val="20"/>
              </w:rPr>
              <w:t>16%</w:t>
            </w:r>
          </w:p>
        </w:tc>
      </w:tr>
      <w:tr w:rsidR="00174A46" w:rsidRPr="00BE5E19" w14:paraId="1673333E"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60040A76" w14:textId="16EB7B16" w:rsidR="00174A46" w:rsidRPr="00BE5E19" w:rsidRDefault="00174A46" w:rsidP="00174A46">
            <w:pPr>
              <w:spacing w:after="120" w:line="240" w:lineRule="auto"/>
              <w:jc w:val="both"/>
              <w:rPr>
                <w:rFonts w:ascii="Aptos" w:eastAsia="Times New Roman" w:hAnsi="Aptos" w:cs="Calibri"/>
                <w:i/>
                <w:iCs/>
                <w:color w:val="000000"/>
                <w:sz w:val="20"/>
                <w:szCs w:val="20"/>
                <w:lang w:val="en-GB"/>
              </w:rPr>
            </w:pPr>
            <w:r w:rsidRPr="0037795B">
              <w:rPr>
                <w:rFonts w:asciiTheme="minorHAnsi" w:hAnsiTheme="minorHAnsi" w:cstheme="minorHAnsi"/>
                <w:i/>
                <w:iCs/>
                <w:sz w:val="20"/>
                <w:szCs w:val="20"/>
              </w:rPr>
              <w:t>Περιθώριο μικτού κέρδους (%)</w:t>
            </w:r>
          </w:p>
        </w:tc>
        <w:tc>
          <w:tcPr>
            <w:tcW w:w="1157" w:type="dxa"/>
            <w:tcBorders>
              <w:top w:val="nil"/>
              <w:left w:val="nil"/>
              <w:bottom w:val="single" w:sz="8" w:space="0" w:color="A8D08D"/>
              <w:right w:val="single" w:sz="8" w:space="0" w:color="A8D08D"/>
            </w:tcBorders>
            <w:shd w:val="clear" w:color="000000" w:fill="FFFFFF"/>
            <w:noWrap/>
            <w:vAlign w:val="center"/>
          </w:tcPr>
          <w:p w14:paraId="16123234" w14:textId="78D2A7CA"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20</w:t>
            </w:r>
            <w:r>
              <w:rPr>
                <w:rFonts w:ascii="Aptos" w:hAnsi="Aptos" w:cs="Calibri"/>
                <w:i/>
                <w:iCs/>
                <w:color w:val="000000"/>
                <w:sz w:val="20"/>
                <w:szCs w:val="20"/>
              </w:rPr>
              <w:t>,</w:t>
            </w:r>
            <w:r w:rsidRPr="00BE5E19">
              <w:rPr>
                <w:rFonts w:ascii="Aptos" w:hAnsi="Aptos" w:cs="Calibri"/>
                <w:i/>
                <w:iCs/>
                <w:color w:val="000000"/>
                <w:sz w:val="20"/>
                <w:szCs w:val="20"/>
              </w:rPr>
              <w:t>8%</w:t>
            </w:r>
          </w:p>
        </w:tc>
        <w:tc>
          <w:tcPr>
            <w:tcW w:w="1158" w:type="dxa"/>
            <w:tcBorders>
              <w:top w:val="nil"/>
              <w:left w:val="nil"/>
              <w:bottom w:val="single" w:sz="8" w:space="0" w:color="A8D08D"/>
              <w:right w:val="single" w:sz="8" w:space="0" w:color="A8D08D"/>
            </w:tcBorders>
            <w:shd w:val="clear" w:color="000000" w:fill="FFFFFF"/>
            <w:noWrap/>
            <w:vAlign w:val="center"/>
          </w:tcPr>
          <w:p w14:paraId="531CA67E" w14:textId="05506314"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18</w:t>
            </w:r>
            <w:r>
              <w:rPr>
                <w:rFonts w:ascii="Aptos" w:hAnsi="Aptos" w:cs="Calibri"/>
                <w:i/>
                <w:iCs/>
                <w:color w:val="000000"/>
                <w:sz w:val="20"/>
                <w:szCs w:val="20"/>
              </w:rPr>
              <w:t>,</w:t>
            </w:r>
            <w:r w:rsidRPr="00BE5E19">
              <w:rPr>
                <w:rFonts w:ascii="Aptos" w:hAnsi="Aptos" w:cs="Calibri"/>
                <w:i/>
                <w:iCs/>
                <w:color w:val="000000"/>
                <w:sz w:val="20"/>
                <w:szCs w:val="20"/>
              </w:rPr>
              <w:t>1%</w:t>
            </w:r>
          </w:p>
        </w:tc>
        <w:tc>
          <w:tcPr>
            <w:tcW w:w="1158" w:type="dxa"/>
            <w:tcBorders>
              <w:top w:val="nil"/>
              <w:left w:val="nil"/>
              <w:bottom w:val="single" w:sz="8" w:space="0" w:color="A8D08D"/>
              <w:right w:val="single" w:sz="8" w:space="0" w:color="A8D08D"/>
            </w:tcBorders>
            <w:shd w:val="clear" w:color="000000" w:fill="FFFFFF"/>
            <w:vAlign w:val="center"/>
          </w:tcPr>
          <w:p w14:paraId="0D2C130F" w14:textId="7CCF1EFC"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270 </w:t>
            </w:r>
            <w:r>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FFFFFF"/>
            <w:vAlign w:val="center"/>
          </w:tcPr>
          <w:p w14:paraId="6EE3CD69" w14:textId="50F7828D"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18</w:t>
            </w:r>
            <w:r>
              <w:rPr>
                <w:rFonts w:ascii="Aptos" w:hAnsi="Aptos" w:cs="Calibri"/>
                <w:i/>
                <w:iCs/>
                <w:color w:val="000000"/>
                <w:sz w:val="20"/>
                <w:szCs w:val="20"/>
              </w:rPr>
              <w:t>,</w:t>
            </w:r>
            <w:r w:rsidRPr="00BE5E19">
              <w:rPr>
                <w:rFonts w:ascii="Aptos" w:hAnsi="Aptos" w:cs="Calibri"/>
                <w:i/>
                <w:iCs/>
                <w:color w:val="000000"/>
                <w:sz w:val="20"/>
                <w:szCs w:val="20"/>
              </w:rPr>
              <w:t>3%</w:t>
            </w:r>
          </w:p>
        </w:tc>
        <w:tc>
          <w:tcPr>
            <w:tcW w:w="1158" w:type="dxa"/>
            <w:tcBorders>
              <w:top w:val="nil"/>
              <w:left w:val="nil"/>
              <w:bottom w:val="single" w:sz="8" w:space="0" w:color="A8D08D"/>
              <w:right w:val="single" w:sz="8" w:space="0" w:color="A8D08D"/>
            </w:tcBorders>
            <w:shd w:val="clear" w:color="000000" w:fill="FFFFFF"/>
            <w:vAlign w:val="center"/>
          </w:tcPr>
          <w:p w14:paraId="344C205E" w14:textId="0DE6A57B"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19</w:t>
            </w:r>
            <w:r>
              <w:rPr>
                <w:rFonts w:ascii="Aptos" w:hAnsi="Aptos" w:cs="Calibri"/>
                <w:i/>
                <w:iCs/>
                <w:color w:val="000000"/>
                <w:sz w:val="20"/>
                <w:szCs w:val="20"/>
              </w:rPr>
              <w:t>,</w:t>
            </w:r>
            <w:r w:rsidRPr="00BE5E19">
              <w:rPr>
                <w:rFonts w:ascii="Aptos" w:hAnsi="Aptos" w:cs="Calibri"/>
                <w:i/>
                <w:iCs/>
                <w:color w:val="000000"/>
                <w:sz w:val="20"/>
                <w:szCs w:val="20"/>
              </w:rPr>
              <w:t>0%</w:t>
            </w:r>
          </w:p>
        </w:tc>
        <w:tc>
          <w:tcPr>
            <w:tcW w:w="1158" w:type="dxa"/>
            <w:tcBorders>
              <w:top w:val="nil"/>
              <w:left w:val="nil"/>
              <w:bottom w:val="single" w:sz="8" w:space="0" w:color="A8D08D"/>
              <w:right w:val="single" w:sz="8" w:space="0" w:color="A8D08D"/>
            </w:tcBorders>
            <w:shd w:val="clear" w:color="000000" w:fill="FFFFFF"/>
            <w:vAlign w:val="center"/>
          </w:tcPr>
          <w:p w14:paraId="67828D4A" w14:textId="0761B6BB"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-66 </w:t>
            </w:r>
            <w:r>
              <w:rPr>
                <w:rFonts w:ascii="Aptos" w:hAnsi="Aptos" w:cs="Calibri"/>
                <w:i/>
                <w:iCs/>
                <w:color w:val="000000"/>
                <w:sz w:val="20"/>
                <w:szCs w:val="20"/>
              </w:rPr>
              <w:t>μβ</w:t>
            </w:r>
          </w:p>
        </w:tc>
      </w:tr>
      <w:tr w:rsidR="00174A46" w:rsidRPr="00BE5E19" w14:paraId="2E498B6E"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vAlign w:val="center"/>
            <w:hideMark/>
          </w:tcPr>
          <w:p w14:paraId="5C817F74" w14:textId="7077A0DD" w:rsidR="00174A46" w:rsidRPr="00174A46" w:rsidRDefault="00174A46" w:rsidP="00174A46">
            <w:pPr>
              <w:spacing w:after="120" w:line="240" w:lineRule="auto"/>
              <w:jc w:val="both"/>
              <w:rPr>
                <w:rFonts w:ascii="Aptos" w:eastAsia="Times New Roman" w:hAnsi="Aptos" w:cs="Calibri"/>
                <w:b/>
                <w:bCs/>
                <w:color w:val="000000"/>
                <w:sz w:val="20"/>
                <w:szCs w:val="20"/>
              </w:rPr>
            </w:pPr>
            <w:r w:rsidRPr="0037795B">
              <w:rPr>
                <w:rFonts w:asciiTheme="minorHAnsi" w:hAnsiTheme="minorHAnsi" w:cstheme="minorHAnsi"/>
                <w:b/>
                <w:bCs/>
                <w:sz w:val="20"/>
                <w:szCs w:val="20"/>
              </w:rPr>
              <w:t>Αναπροσαρμοσμένα κέρδη προ φόρων, χρηματοδοτικών, επενδυτικών αποτελεσμάτων και αποσβέσεων (α-EBITDA)</w:t>
            </w:r>
          </w:p>
        </w:tc>
        <w:tc>
          <w:tcPr>
            <w:tcW w:w="1157" w:type="dxa"/>
            <w:tcBorders>
              <w:top w:val="nil"/>
              <w:left w:val="nil"/>
              <w:bottom w:val="single" w:sz="8" w:space="0" w:color="A8D08D"/>
              <w:right w:val="single" w:sz="8" w:space="0" w:color="A8D08D"/>
            </w:tcBorders>
            <w:shd w:val="clear" w:color="000000" w:fill="E2EFD9"/>
            <w:noWrap/>
            <w:vAlign w:val="center"/>
          </w:tcPr>
          <w:p w14:paraId="6F036C3D" w14:textId="615C4127"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215</w:t>
            </w:r>
            <w:r>
              <w:rPr>
                <w:rFonts w:ascii="Aptos" w:hAnsi="Aptos" w:cs="Calibri"/>
                <w:b/>
                <w:bCs/>
                <w:color w:val="000000"/>
                <w:sz w:val="20"/>
                <w:szCs w:val="20"/>
              </w:rPr>
              <w:t>.</w:t>
            </w:r>
            <w:r w:rsidRPr="00BE5E19">
              <w:rPr>
                <w:rFonts w:ascii="Aptos" w:hAnsi="Aptos" w:cs="Calibri"/>
                <w:b/>
                <w:bCs/>
                <w:color w:val="000000"/>
                <w:sz w:val="20"/>
                <w:szCs w:val="20"/>
              </w:rPr>
              <w:t>630</w:t>
            </w:r>
          </w:p>
        </w:tc>
        <w:tc>
          <w:tcPr>
            <w:tcW w:w="1158" w:type="dxa"/>
            <w:tcBorders>
              <w:top w:val="nil"/>
              <w:left w:val="nil"/>
              <w:bottom w:val="single" w:sz="8" w:space="0" w:color="A8D08D"/>
              <w:right w:val="single" w:sz="8" w:space="0" w:color="A8D08D"/>
            </w:tcBorders>
            <w:shd w:val="clear" w:color="000000" w:fill="E2EFD9"/>
            <w:noWrap/>
            <w:vAlign w:val="center"/>
          </w:tcPr>
          <w:p w14:paraId="715C5DF6" w14:textId="294C4F5E" w:rsidR="00174A46" w:rsidRPr="00BE5E19" w:rsidRDefault="00174A46" w:rsidP="00174A46">
            <w:pPr>
              <w:spacing w:after="120" w:line="240" w:lineRule="auto"/>
              <w:jc w:val="right"/>
              <w:rPr>
                <w:rFonts w:ascii="Aptos" w:eastAsia="Times New Roman" w:hAnsi="Aptos" w:cs="Calibri"/>
                <w:b/>
                <w:bCs/>
                <w:color w:val="000000"/>
                <w:sz w:val="20"/>
                <w:szCs w:val="20"/>
              </w:rPr>
            </w:pPr>
            <w:r w:rsidRPr="00BE5E19">
              <w:rPr>
                <w:rFonts w:ascii="Aptos" w:hAnsi="Aptos" w:cs="Calibri"/>
                <w:b/>
                <w:bCs/>
                <w:color w:val="000000"/>
                <w:sz w:val="20"/>
                <w:szCs w:val="20"/>
              </w:rPr>
              <w:t>170</w:t>
            </w:r>
            <w:r>
              <w:rPr>
                <w:rFonts w:ascii="Aptos" w:hAnsi="Aptos" w:cs="Calibri"/>
                <w:b/>
                <w:bCs/>
                <w:color w:val="000000"/>
                <w:sz w:val="20"/>
                <w:szCs w:val="20"/>
              </w:rPr>
              <w:t>.</w:t>
            </w:r>
            <w:r w:rsidRPr="00BE5E19">
              <w:rPr>
                <w:rFonts w:ascii="Aptos" w:hAnsi="Aptos" w:cs="Calibri"/>
                <w:b/>
                <w:bCs/>
                <w:color w:val="000000"/>
                <w:sz w:val="20"/>
                <w:szCs w:val="20"/>
              </w:rPr>
              <w:t>947</w:t>
            </w:r>
          </w:p>
        </w:tc>
        <w:tc>
          <w:tcPr>
            <w:tcW w:w="1158" w:type="dxa"/>
            <w:tcBorders>
              <w:top w:val="nil"/>
              <w:left w:val="nil"/>
              <w:bottom w:val="single" w:sz="8" w:space="0" w:color="A8D08D"/>
              <w:right w:val="single" w:sz="8" w:space="0" w:color="A8D08D"/>
            </w:tcBorders>
            <w:shd w:val="clear" w:color="000000" w:fill="E2EFD9"/>
            <w:vAlign w:val="center"/>
          </w:tcPr>
          <w:p w14:paraId="7F8DA5AB" w14:textId="3A250B4A" w:rsidR="00174A46" w:rsidRPr="00BE5E19" w:rsidRDefault="00174A46" w:rsidP="00174A46">
            <w:pPr>
              <w:spacing w:after="120" w:line="240" w:lineRule="auto"/>
              <w:jc w:val="right"/>
              <w:rPr>
                <w:rFonts w:ascii="Aptos" w:hAnsi="Aptos" w:cs="Calibri"/>
                <w:b/>
                <w:bCs/>
                <w:color w:val="000000"/>
                <w:sz w:val="20"/>
                <w:szCs w:val="20"/>
                <w:lang w:val="en-GB"/>
              </w:rPr>
            </w:pPr>
            <w:r w:rsidRPr="00BE5E19">
              <w:rPr>
                <w:rFonts w:ascii="Aptos" w:hAnsi="Aptos" w:cs="Calibri"/>
                <w:b/>
                <w:bCs/>
                <w:i/>
                <w:iCs/>
                <w:color w:val="000000"/>
                <w:sz w:val="20"/>
                <w:szCs w:val="20"/>
              </w:rPr>
              <w:t>26%</w:t>
            </w:r>
          </w:p>
        </w:tc>
        <w:tc>
          <w:tcPr>
            <w:tcW w:w="1157" w:type="dxa"/>
            <w:tcBorders>
              <w:top w:val="nil"/>
              <w:left w:val="nil"/>
              <w:bottom w:val="single" w:sz="8" w:space="0" w:color="A8D08D"/>
              <w:right w:val="single" w:sz="8" w:space="0" w:color="A8D08D"/>
            </w:tcBorders>
            <w:shd w:val="clear" w:color="000000" w:fill="E2EFD9"/>
            <w:vAlign w:val="center"/>
          </w:tcPr>
          <w:p w14:paraId="78198256" w14:textId="4C96BCE2"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115</w:t>
            </w:r>
            <w:r>
              <w:rPr>
                <w:rFonts w:ascii="Aptos" w:hAnsi="Aptos" w:cs="Calibri"/>
                <w:b/>
                <w:bCs/>
                <w:color w:val="000000"/>
                <w:sz w:val="20"/>
                <w:szCs w:val="20"/>
              </w:rPr>
              <w:t>.</w:t>
            </w:r>
            <w:r w:rsidRPr="00BE5E19">
              <w:rPr>
                <w:rFonts w:ascii="Aptos" w:hAnsi="Aptos" w:cs="Calibri"/>
                <w:b/>
                <w:bCs/>
                <w:color w:val="000000"/>
                <w:sz w:val="20"/>
                <w:szCs w:val="20"/>
              </w:rPr>
              <w:t>184</w:t>
            </w:r>
          </w:p>
        </w:tc>
        <w:tc>
          <w:tcPr>
            <w:tcW w:w="1158" w:type="dxa"/>
            <w:tcBorders>
              <w:top w:val="nil"/>
              <w:left w:val="nil"/>
              <w:bottom w:val="single" w:sz="8" w:space="0" w:color="A8D08D"/>
              <w:right w:val="single" w:sz="8" w:space="0" w:color="A8D08D"/>
            </w:tcBorders>
            <w:shd w:val="clear" w:color="000000" w:fill="E2EFD9"/>
            <w:vAlign w:val="center"/>
          </w:tcPr>
          <w:p w14:paraId="05AA08C5" w14:textId="64A3F78B"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95</w:t>
            </w:r>
            <w:r>
              <w:rPr>
                <w:rFonts w:ascii="Aptos" w:hAnsi="Aptos" w:cs="Calibri"/>
                <w:b/>
                <w:bCs/>
                <w:color w:val="000000"/>
                <w:sz w:val="20"/>
                <w:szCs w:val="20"/>
              </w:rPr>
              <w:t>.</w:t>
            </w:r>
            <w:r w:rsidRPr="00BE5E19">
              <w:rPr>
                <w:rFonts w:ascii="Aptos" w:hAnsi="Aptos" w:cs="Calibri"/>
                <w:b/>
                <w:bCs/>
                <w:color w:val="000000"/>
                <w:sz w:val="20"/>
                <w:szCs w:val="20"/>
              </w:rPr>
              <w:t>218</w:t>
            </w:r>
          </w:p>
        </w:tc>
        <w:tc>
          <w:tcPr>
            <w:tcW w:w="1158" w:type="dxa"/>
            <w:tcBorders>
              <w:top w:val="nil"/>
              <w:left w:val="nil"/>
              <w:bottom w:val="single" w:sz="8" w:space="0" w:color="A8D08D"/>
              <w:right w:val="single" w:sz="8" w:space="0" w:color="A8D08D"/>
            </w:tcBorders>
            <w:shd w:val="clear" w:color="000000" w:fill="E2EFD9"/>
            <w:vAlign w:val="center"/>
          </w:tcPr>
          <w:p w14:paraId="671F13DA" w14:textId="4B643F93"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21%</w:t>
            </w:r>
          </w:p>
        </w:tc>
      </w:tr>
      <w:tr w:rsidR="00174A46" w:rsidRPr="00BE5E19" w14:paraId="0A250BC9"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vAlign w:val="center"/>
            <w:hideMark/>
          </w:tcPr>
          <w:p w14:paraId="5676D0C1" w14:textId="4F02B9F4" w:rsidR="00174A46" w:rsidRPr="00BE5E19" w:rsidRDefault="00174A46" w:rsidP="00174A46">
            <w:pPr>
              <w:spacing w:after="120" w:line="240" w:lineRule="auto"/>
              <w:jc w:val="both"/>
              <w:rPr>
                <w:rFonts w:ascii="Aptos" w:eastAsia="Times New Roman" w:hAnsi="Aptos" w:cs="Calibri"/>
                <w:i/>
                <w:iCs/>
                <w:color w:val="000000"/>
                <w:sz w:val="20"/>
                <w:szCs w:val="20"/>
                <w:lang w:val="en-GB"/>
              </w:rPr>
            </w:pPr>
            <w:r w:rsidRPr="0037795B">
              <w:rPr>
                <w:rFonts w:asciiTheme="minorHAnsi" w:hAnsiTheme="minorHAnsi" w:cstheme="minorHAnsi"/>
                <w:i/>
                <w:iCs/>
                <w:sz w:val="20"/>
                <w:szCs w:val="20"/>
              </w:rPr>
              <w:t>Περιθώριο α-EBITDA (%)</w:t>
            </w:r>
          </w:p>
        </w:tc>
        <w:tc>
          <w:tcPr>
            <w:tcW w:w="1157" w:type="dxa"/>
            <w:tcBorders>
              <w:top w:val="nil"/>
              <w:left w:val="nil"/>
              <w:bottom w:val="single" w:sz="8" w:space="0" w:color="A8D08D"/>
              <w:right w:val="single" w:sz="8" w:space="0" w:color="A8D08D"/>
            </w:tcBorders>
            <w:shd w:val="clear" w:color="000000" w:fill="E2EFD9"/>
            <w:noWrap/>
            <w:vAlign w:val="center"/>
          </w:tcPr>
          <w:p w14:paraId="27335521" w14:textId="4522A0B7"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18</w:t>
            </w:r>
            <w:r>
              <w:rPr>
                <w:rFonts w:ascii="Aptos" w:hAnsi="Aptos" w:cs="Calibri"/>
                <w:i/>
                <w:iCs/>
                <w:color w:val="000000"/>
                <w:sz w:val="20"/>
                <w:szCs w:val="20"/>
              </w:rPr>
              <w:t>,</w:t>
            </w:r>
            <w:r w:rsidRPr="00BE5E19">
              <w:rPr>
                <w:rFonts w:ascii="Aptos" w:hAnsi="Aptos" w:cs="Calibri"/>
                <w:i/>
                <w:iCs/>
                <w:color w:val="000000"/>
                <w:sz w:val="20"/>
                <w:szCs w:val="20"/>
              </w:rPr>
              <w:t>7%</w:t>
            </w:r>
          </w:p>
        </w:tc>
        <w:tc>
          <w:tcPr>
            <w:tcW w:w="1158" w:type="dxa"/>
            <w:tcBorders>
              <w:top w:val="nil"/>
              <w:left w:val="nil"/>
              <w:bottom w:val="single" w:sz="8" w:space="0" w:color="A8D08D"/>
              <w:right w:val="single" w:sz="8" w:space="0" w:color="A8D08D"/>
            </w:tcBorders>
            <w:shd w:val="clear" w:color="000000" w:fill="E2EFD9"/>
            <w:noWrap/>
            <w:vAlign w:val="center"/>
          </w:tcPr>
          <w:p w14:paraId="7755A4BB" w14:textId="22B64F01"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16</w:t>
            </w:r>
            <w:r>
              <w:rPr>
                <w:rFonts w:ascii="Aptos" w:hAnsi="Aptos" w:cs="Calibri"/>
                <w:i/>
                <w:iCs/>
                <w:color w:val="000000"/>
                <w:sz w:val="20"/>
                <w:szCs w:val="20"/>
              </w:rPr>
              <w:t>,</w:t>
            </w:r>
            <w:r w:rsidRPr="00BE5E19">
              <w:rPr>
                <w:rFonts w:ascii="Aptos" w:hAnsi="Aptos" w:cs="Calibri"/>
                <w:i/>
                <w:iCs/>
                <w:color w:val="000000"/>
                <w:sz w:val="20"/>
                <w:szCs w:val="20"/>
              </w:rPr>
              <w:t>7%</w:t>
            </w:r>
          </w:p>
        </w:tc>
        <w:tc>
          <w:tcPr>
            <w:tcW w:w="1158" w:type="dxa"/>
            <w:tcBorders>
              <w:top w:val="nil"/>
              <w:left w:val="nil"/>
              <w:bottom w:val="single" w:sz="8" w:space="0" w:color="A8D08D"/>
              <w:right w:val="single" w:sz="8" w:space="0" w:color="A8D08D"/>
            </w:tcBorders>
            <w:shd w:val="clear" w:color="000000" w:fill="E2EFD9"/>
            <w:vAlign w:val="center"/>
          </w:tcPr>
          <w:p w14:paraId="2B9DA0A8" w14:textId="6B40B8C9"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198 </w:t>
            </w:r>
            <w:r>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E2EFD9"/>
            <w:vAlign w:val="center"/>
          </w:tcPr>
          <w:p w14:paraId="59291749" w14:textId="17681E05"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r>
              <w:rPr>
                <w:rFonts w:ascii="Aptos" w:hAnsi="Aptos" w:cs="Calibri"/>
                <w:i/>
                <w:iCs/>
                <w:color w:val="000000"/>
                <w:sz w:val="20"/>
                <w:szCs w:val="20"/>
              </w:rPr>
              <w:t>,</w:t>
            </w:r>
            <w:r w:rsidRPr="00BE5E19">
              <w:rPr>
                <w:rFonts w:ascii="Aptos" w:hAnsi="Aptos" w:cs="Calibri"/>
                <w:i/>
                <w:iCs/>
                <w:color w:val="000000"/>
                <w:sz w:val="20"/>
                <w:szCs w:val="20"/>
              </w:rPr>
              <w:t>9%</w:t>
            </w:r>
          </w:p>
        </w:tc>
        <w:tc>
          <w:tcPr>
            <w:tcW w:w="1158" w:type="dxa"/>
            <w:tcBorders>
              <w:top w:val="nil"/>
              <w:left w:val="nil"/>
              <w:bottom w:val="single" w:sz="8" w:space="0" w:color="A8D08D"/>
              <w:right w:val="single" w:sz="8" w:space="0" w:color="A8D08D"/>
            </w:tcBorders>
            <w:shd w:val="clear" w:color="000000" w:fill="E2EFD9"/>
            <w:vAlign w:val="center"/>
          </w:tcPr>
          <w:p w14:paraId="186F2596" w14:textId="5397BF03"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r>
              <w:rPr>
                <w:rFonts w:ascii="Aptos" w:hAnsi="Aptos" w:cs="Calibri"/>
                <w:i/>
                <w:iCs/>
                <w:color w:val="000000"/>
                <w:sz w:val="20"/>
                <w:szCs w:val="20"/>
              </w:rPr>
              <w:t>,</w:t>
            </w:r>
            <w:r w:rsidRPr="00BE5E19">
              <w:rPr>
                <w:rFonts w:ascii="Aptos" w:hAnsi="Aptos" w:cs="Calibri"/>
                <w:i/>
                <w:iCs/>
                <w:color w:val="000000"/>
                <w:sz w:val="20"/>
                <w:szCs w:val="20"/>
              </w:rPr>
              <w:t>8%</w:t>
            </w:r>
          </w:p>
        </w:tc>
        <w:tc>
          <w:tcPr>
            <w:tcW w:w="1158" w:type="dxa"/>
            <w:tcBorders>
              <w:top w:val="nil"/>
              <w:left w:val="nil"/>
              <w:bottom w:val="single" w:sz="8" w:space="0" w:color="A8D08D"/>
              <w:right w:val="single" w:sz="8" w:space="0" w:color="A8D08D"/>
            </w:tcBorders>
            <w:shd w:val="clear" w:color="000000" w:fill="E2EFD9"/>
            <w:vAlign w:val="center"/>
          </w:tcPr>
          <w:p w14:paraId="7B01ABB4" w14:textId="1CC97324"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11 </w:t>
            </w:r>
            <w:r>
              <w:rPr>
                <w:rFonts w:ascii="Aptos" w:hAnsi="Aptos" w:cs="Calibri"/>
                <w:i/>
                <w:iCs/>
                <w:color w:val="000000"/>
                <w:sz w:val="20"/>
                <w:szCs w:val="20"/>
              </w:rPr>
              <w:t>μβ</w:t>
            </w:r>
          </w:p>
        </w:tc>
      </w:tr>
      <w:tr w:rsidR="00174A46" w:rsidRPr="00BE5E19" w14:paraId="4AEFBC68"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vAlign w:val="center"/>
            <w:hideMark/>
          </w:tcPr>
          <w:p w14:paraId="4A41C701" w14:textId="66CE891A" w:rsidR="00174A46" w:rsidRPr="00174A46" w:rsidRDefault="00174A46" w:rsidP="00174A46">
            <w:pPr>
              <w:spacing w:after="120" w:line="240" w:lineRule="auto"/>
              <w:jc w:val="both"/>
              <w:rPr>
                <w:rFonts w:ascii="Aptos" w:eastAsia="Times New Roman" w:hAnsi="Aptos" w:cs="Calibri"/>
                <w:b/>
                <w:bCs/>
                <w:color w:val="000000"/>
                <w:sz w:val="20"/>
                <w:szCs w:val="20"/>
              </w:rPr>
            </w:pPr>
            <w:r w:rsidRPr="0037795B">
              <w:rPr>
                <w:rFonts w:asciiTheme="minorHAnsi" w:eastAsia="Times New Roman" w:hAnsiTheme="minorHAnsi" w:cstheme="minorHAnsi"/>
                <w:b/>
                <w:bCs/>
                <w:color w:val="000000"/>
                <w:sz w:val="20"/>
                <w:szCs w:val="20"/>
              </w:rPr>
              <w:t>Κέρδη προ φόρων, χρηματοδοτικών, επενδυτικών αποτελεσμάτων και αποσβέσεων (EBITDA)</w:t>
            </w:r>
          </w:p>
        </w:tc>
        <w:tc>
          <w:tcPr>
            <w:tcW w:w="1157" w:type="dxa"/>
            <w:tcBorders>
              <w:top w:val="nil"/>
              <w:left w:val="nil"/>
              <w:bottom w:val="single" w:sz="8" w:space="0" w:color="A8D08D"/>
              <w:right w:val="single" w:sz="8" w:space="0" w:color="A8D08D"/>
            </w:tcBorders>
            <w:shd w:val="clear" w:color="000000" w:fill="FFFFFF"/>
            <w:noWrap/>
            <w:vAlign w:val="center"/>
          </w:tcPr>
          <w:p w14:paraId="587C58EA" w14:textId="2C2EC0CC" w:rsidR="00174A46" w:rsidRPr="006C77F2" w:rsidRDefault="00174A46" w:rsidP="00174A46">
            <w:pPr>
              <w:spacing w:after="120" w:line="240" w:lineRule="auto"/>
              <w:jc w:val="right"/>
              <w:rPr>
                <w:rFonts w:ascii="Aptos" w:eastAsia="Times New Roman" w:hAnsi="Aptos" w:cs="Calibri"/>
                <w:b/>
                <w:bCs/>
                <w:color w:val="000000"/>
                <w:sz w:val="20"/>
                <w:szCs w:val="20"/>
                <w:lang w:val="en-GB"/>
              </w:rPr>
            </w:pPr>
            <w:r w:rsidRPr="006C77F2">
              <w:rPr>
                <w:rFonts w:ascii="Aptos" w:hAnsi="Aptos" w:cs="Calibri"/>
                <w:b/>
                <w:bCs/>
                <w:color w:val="000000"/>
                <w:sz w:val="20"/>
                <w:szCs w:val="20"/>
              </w:rPr>
              <w:t>222.729</w:t>
            </w:r>
          </w:p>
        </w:tc>
        <w:tc>
          <w:tcPr>
            <w:tcW w:w="1158" w:type="dxa"/>
            <w:tcBorders>
              <w:top w:val="nil"/>
              <w:left w:val="nil"/>
              <w:bottom w:val="single" w:sz="8" w:space="0" w:color="A8D08D"/>
              <w:right w:val="single" w:sz="8" w:space="0" w:color="A8D08D"/>
            </w:tcBorders>
            <w:shd w:val="clear" w:color="000000" w:fill="FFFFFF"/>
            <w:noWrap/>
            <w:vAlign w:val="center"/>
          </w:tcPr>
          <w:p w14:paraId="356BE3E6" w14:textId="2578B842" w:rsidR="00174A46" w:rsidRPr="006C77F2" w:rsidRDefault="00174A46" w:rsidP="00174A46">
            <w:pPr>
              <w:spacing w:after="120" w:line="240" w:lineRule="auto"/>
              <w:jc w:val="right"/>
              <w:rPr>
                <w:rFonts w:ascii="Aptos" w:eastAsia="Times New Roman" w:hAnsi="Aptos" w:cs="Calibri"/>
                <w:b/>
                <w:bCs/>
                <w:color w:val="000000"/>
                <w:sz w:val="20"/>
                <w:szCs w:val="20"/>
                <w:lang w:val="en-GB"/>
              </w:rPr>
            </w:pPr>
            <w:r w:rsidRPr="006C77F2">
              <w:rPr>
                <w:rFonts w:ascii="Aptos" w:hAnsi="Aptos" w:cs="Calibri"/>
                <w:b/>
                <w:bCs/>
                <w:color w:val="000000"/>
                <w:sz w:val="20"/>
                <w:szCs w:val="20"/>
              </w:rPr>
              <w:t>171.248</w:t>
            </w:r>
          </w:p>
        </w:tc>
        <w:tc>
          <w:tcPr>
            <w:tcW w:w="1158" w:type="dxa"/>
            <w:tcBorders>
              <w:top w:val="nil"/>
              <w:left w:val="nil"/>
              <w:bottom w:val="single" w:sz="8" w:space="0" w:color="A8D08D"/>
              <w:right w:val="single" w:sz="8" w:space="0" w:color="A8D08D"/>
            </w:tcBorders>
            <w:shd w:val="clear" w:color="000000" w:fill="FFFFFF"/>
            <w:vAlign w:val="center"/>
          </w:tcPr>
          <w:p w14:paraId="0712AEB2" w14:textId="2A087AD4" w:rsidR="00174A46" w:rsidRPr="006C77F2" w:rsidRDefault="00174A46" w:rsidP="00174A46">
            <w:pPr>
              <w:spacing w:after="120" w:line="240" w:lineRule="auto"/>
              <w:jc w:val="right"/>
              <w:rPr>
                <w:rFonts w:ascii="Aptos" w:hAnsi="Aptos" w:cs="Calibri"/>
                <w:b/>
                <w:bCs/>
                <w:color w:val="000000"/>
                <w:sz w:val="20"/>
                <w:szCs w:val="20"/>
                <w:lang w:val="en-GB"/>
              </w:rPr>
            </w:pPr>
            <w:r w:rsidRPr="006C77F2">
              <w:rPr>
                <w:rFonts w:ascii="Aptos" w:hAnsi="Aptos" w:cs="Calibri"/>
                <w:b/>
                <w:bCs/>
                <w:i/>
                <w:iCs/>
                <w:color w:val="000000"/>
                <w:sz w:val="20"/>
                <w:szCs w:val="20"/>
              </w:rPr>
              <w:t>30%</w:t>
            </w:r>
          </w:p>
        </w:tc>
        <w:tc>
          <w:tcPr>
            <w:tcW w:w="1157" w:type="dxa"/>
            <w:tcBorders>
              <w:top w:val="nil"/>
              <w:left w:val="nil"/>
              <w:bottom w:val="single" w:sz="8" w:space="0" w:color="A8D08D"/>
              <w:right w:val="single" w:sz="8" w:space="0" w:color="A8D08D"/>
            </w:tcBorders>
            <w:shd w:val="clear" w:color="000000" w:fill="FFFFFF"/>
            <w:vAlign w:val="center"/>
          </w:tcPr>
          <w:p w14:paraId="72C4A8B8" w14:textId="1347F200"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color w:val="000000"/>
                <w:sz w:val="20"/>
                <w:szCs w:val="20"/>
              </w:rPr>
              <w:t>107.805</w:t>
            </w:r>
          </w:p>
        </w:tc>
        <w:tc>
          <w:tcPr>
            <w:tcW w:w="1158" w:type="dxa"/>
            <w:tcBorders>
              <w:top w:val="nil"/>
              <w:left w:val="nil"/>
              <w:bottom w:val="single" w:sz="8" w:space="0" w:color="A8D08D"/>
              <w:right w:val="single" w:sz="8" w:space="0" w:color="A8D08D"/>
            </w:tcBorders>
            <w:shd w:val="clear" w:color="000000" w:fill="FFFFFF"/>
            <w:vAlign w:val="center"/>
          </w:tcPr>
          <w:p w14:paraId="7D8994AC" w14:textId="1729AFEC"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color w:val="000000"/>
                <w:sz w:val="20"/>
                <w:szCs w:val="20"/>
              </w:rPr>
              <w:t>92.917</w:t>
            </w:r>
          </w:p>
        </w:tc>
        <w:tc>
          <w:tcPr>
            <w:tcW w:w="1158" w:type="dxa"/>
            <w:tcBorders>
              <w:top w:val="nil"/>
              <w:left w:val="nil"/>
              <w:bottom w:val="single" w:sz="8" w:space="0" w:color="A8D08D"/>
              <w:right w:val="single" w:sz="8" w:space="0" w:color="A8D08D"/>
            </w:tcBorders>
            <w:shd w:val="clear" w:color="000000" w:fill="FFFFFF"/>
            <w:vAlign w:val="center"/>
          </w:tcPr>
          <w:p w14:paraId="2219982D" w14:textId="1227056E"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i/>
                <w:iCs/>
                <w:color w:val="000000"/>
                <w:sz w:val="20"/>
                <w:szCs w:val="20"/>
              </w:rPr>
              <w:t>16%</w:t>
            </w:r>
          </w:p>
        </w:tc>
      </w:tr>
      <w:tr w:rsidR="00174A46" w:rsidRPr="00BE5E19" w14:paraId="776837FB"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6A1BB540" w14:textId="57E10A2A" w:rsidR="00174A46" w:rsidRPr="00BE5E19" w:rsidRDefault="00174A46" w:rsidP="00174A46">
            <w:pPr>
              <w:spacing w:after="120" w:line="240" w:lineRule="auto"/>
              <w:jc w:val="both"/>
              <w:rPr>
                <w:rFonts w:ascii="Aptos" w:eastAsia="Times New Roman" w:hAnsi="Aptos" w:cs="Calibri"/>
                <w:i/>
                <w:iCs/>
                <w:color w:val="000000"/>
                <w:sz w:val="20"/>
                <w:szCs w:val="20"/>
                <w:lang w:val="en-GB"/>
              </w:rPr>
            </w:pPr>
            <w:r w:rsidRPr="0037795B">
              <w:rPr>
                <w:rFonts w:asciiTheme="minorHAnsi" w:eastAsia="Times New Roman" w:hAnsiTheme="minorHAnsi" w:cstheme="minorHAnsi"/>
                <w:i/>
                <w:iCs/>
                <w:color w:val="000000"/>
                <w:sz w:val="20"/>
                <w:szCs w:val="20"/>
              </w:rPr>
              <w:t>Περιθώριο EBITDA (%)</w:t>
            </w:r>
          </w:p>
        </w:tc>
        <w:tc>
          <w:tcPr>
            <w:tcW w:w="1157" w:type="dxa"/>
            <w:tcBorders>
              <w:top w:val="nil"/>
              <w:left w:val="nil"/>
              <w:bottom w:val="single" w:sz="8" w:space="0" w:color="A8D08D"/>
              <w:right w:val="single" w:sz="8" w:space="0" w:color="A8D08D"/>
            </w:tcBorders>
            <w:shd w:val="clear" w:color="000000" w:fill="FFFFFF"/>
            <w:noWrap/>
            <w:vAlign w:val="center"/>
          </w:tcPr>
          <w:p w14:paraId="44053F6D" w14:textId="5F1A48C9"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19</w:t>
            </w:r>
            <w:r>
              <w:rPr>
                <w:rFonts w:ascii="Aptos" w:hAnsi="Aptos" w:cs="Calibri"/>
                <w:i/>
                <w:iCs/>
                <w:color w:val="000000"/>
                <w:sz w:val="20"/>
                <w:szCs w:val="20"/>
              </w:rPr>
              <w:t>,</w:t>
            </w:r>
            <w:r w:rsidRPr="00BE5E19">
              <w:rPr>
                <w:rFonts w:ascii="Aptos" w:hAnsi="Aptos" w:cs="Calibri"/>
                <w:i/>
                <w:iCs/>
                <w:color w:val="000000"/>
                <w:sz w:val="20"/>
                <w:szCs w:val="20"/>
              </w:rPr>
              <w:t>3%</w:t>
            </w:r>
          </w:p>
        </w:tc>
        <w:tc>
          <w:tcPr>
            <w:tcW w:w="1158" w:type="dxa"/>
            <w:tcBorders>
              <w:top w:val="nil"/>
              <w:left w:val="nil"/>
              <w:bottom w:val="single" w:sz="8" w:space="0" w:color="A8D08D"/>
              <w:right w:val="single" w:sz="8" w:space="0" w:color="A8D08D"/>
            </w:tcBorders>
            <w:shd w:val="clear" w:color="000000" w:fill="FFFFFF"/>
            <w:noWrap/>
            <w:vAlign w:val="center"/>
          </w:tcPr>
          <w:p w14:paraId="185F1703" w14:textId="21603B2D"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16</w:t>
            </w:r>
            <w:r>
              <w:rPr>
                <w:rFonts w:ascii="Aptos" w:hAnsi="Aptos" w:cs="Calibri"/>
                <w:i/>
                <w:iCs/>
                <w:color w:val="000000"/>
                <w:sz w:val="20"/>
                <w:szCs w:val="20"/>
              </w:rPr>
              <w:t>,</w:t>
            </w:r>
            <w:r w:rsidRPr="00BE5E19">
              <w:rPr>
                <w:rFonts w:ascii="Aptos" w:hAnsi="Aptos" w:cs="Calibri"/>
                <w:i/>
                <w:iCs/>
                <w:color w:val="000000"/>
                <w:sz w:val="20"/>
                <w:szCs w:val="20"/>
              </w:rPr>
              <w:t>8%</w:t>
            </w:r>
          </w:p>
        </w:tc>
        <w:tc>
          <w:tcPr>
            <w:tcW w:w="1158" w:type="dxa"/>
            <w:tcBorders>
              <w:top w:val="nil"/>
              <w:left w:val="nil"/>
              <w:bottom w:val="single" w:sz="8" w:space="0" w:color="A8D08D"/>
              <w:right w:val="single" w:sz="8" w:space="0" w:color="A8D08D"/>
            </w:tcBorders>
            <w:shd w:val="clear" w:color="000000" w:fill="FFFFFF"/>
            <w:vAlign w:val="center"/>
          </w:tcPr>
          <w:p w14:paraId="13027C79" w14:textId="2D43DC19"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256 </w:t>
            </w:r>
            <w:r>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FFFFFF"/>
            <w:vAlign w:val="center"/>
          </w:tcPr>
          <w:p w14:paraId="616DF224" w14:textId="23778056"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16</w:t>
            </w:r>
            <w:r>
              <w:rPr>
                <w:rFonts w:ascii="Aptos" w:hAnsi="Aptos" w:cs="Calibri"/>
                <w:i/>
                <w:iCs/>
                <w:color w:val="000000"/>
                <w:sz w:val="20"/>
                <w:szCs w:val="20"/>
              </w:rPr>
              <w:t>,</w:t>
            </w:r>
            <w:r w:rsidRPr="00BE5E19">
              <w:rPr>
                <w:rFonts w:ascii="Aptos" w:hAnsi="Aptos" w:cs="Calibri"/>
                <w:i/>
                <w:iCs/>
                <w:color w:val="000000"/>
                <w:sz w:val="20"/>
                <w:szCs w:val="20"/>
              </w:rPr>
              <w:t>8%</w:t>
            </w:r>
          </w:p>
        </w:tc>
        <w:tc>
          <w:tcPr>
            <w:tcW w:w="1158" w:type="dxa"/>
            <w:tcBorders>
              <w:top w:val="nil"/>
              <w:left w:val="nil"/>
              <w:bottom w:val="single" w:sz="8" w:space="0" w:color="A8D08D"/>
              <w:right w:val="single" w:sz="8" w:space="0" w:color="A8D08D"/>
            </w:tcBorders>
            <w:shd w:val="clear" w:color="000000" w:fill="FFFFFF"/>
            <w:vAlign w:val="center"/>
          </w:tcPr>
          <w:p w14:paraId="51EF3428" w14:textId="26E7274E"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r>
              <w:rPr>
                <w:rFonts w:ascii="Aptos" w:hAnsi="Aptos" w:cs="Calibri"/>
                <w:i/>
                <w:iCs/>
                <w:color w:val="000000"/>
                <w:sz w:val="20"/>
                <w:szCs w:val="20"/>
              </w:rPr>
              <w:t>,</w:t>
            </w:r>
            <w:r w:rsidRPr="00BE5E19">
              <w:rPr>
                <w:rFonts w:ascii="Aptos" w:hAnsi="Aptos" w:cs="Calibri"/>
                <w:i/>
                <w:iCs/>
                <w:color w:val="000000"/>
                <w:sz w:val="20"/>
                <w:szCs w:val="20"/>
              </w:rPr>
              <w:t>4%</w:t>
            </w:r>
          </w:p>
        </w:tc>
        <w:tc>
          <w:tcPr>
            <w:tcW w:w="1158" w:type="dxa"/>
            <w:tcBorders>
              <w:top w:val="nil"/>
              <w:left w:val="nil"/>
              <w:bottom w:val="single" w:sz="8" w:space="0" w:color="A8D08D"/>
              <w:right w:val="single" w:sz="8" w:space="0" w:color="A8D08D"/>
            </w:tcBorders>
            <w:shd w:val="clear" w:color="000000" w:fill="FFFFFF"/>
            <w:vAlign w:val="center"/>
          </w:tcPr>
          <w:p w14:paraId="60B0BDA4" w14:textId="6DA3F940"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-61 </w:t>
            </w:r>
            <w:r>
              <w:rPr>
                <w:rFonts w:ascii="Aptos" w:hAnsi="Aptos" w:cs="Calibri"/>
                <w:i/>
                <w:iCs/>
                <w:color w:val="000000"/>
                <w:sz w:val="20"/>
                <w:szCs w:val="20"/>
              </w:rPr>
              <w:t>μβ</w:t>
            </w:r>
          </w:p>
        </w:tc>
      </w:tr>
      <w:tr w:rsidR="00174A46" w:rsidRPr="00BE5E19" w14:paraId="69067840"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vAlign w:val="center"/>
            <w:hideMark/>
          </w:tcPr>
          <w:p w14:paraId="74389E9A" w14:textId="6292FBE2" w:rsidR="00174A46" w:rsidRPr="00174A46" w:rsidRDefault="00174A46" w:rsidP="00174A46">
            <w:pPr>
              <w:spacing w:after="120" w:line="240" w:lineRule="auto"/>
              <w:jc w:val="both"/>
              <w:rPr>
                <w:rFonts w:ascii="Aptos" w:eastAsia="Times New Roman" w:hAnsi="Aptos" w:cs="Calibri"/>
                <w:b/>
                <w:bCs/>
                <w:color w:val="000000"/>
                <w:sz w:val="20"/>
                <w:szCs w:val="20"/>
              </w:rPr>
            </w:pPr>
            <w:r w:rsidRPr="0037795B">
              <w:rPr>
                <w:rFonts w:asciiTheme="minorHAnsi" w:eastAsia="Times New Roman" w:hAnsiTheme="minorHAnsi" w:cstheme="minorHAnsi"/>
                <w:b/>
                <w:bCs/>
                <w:color w:val="000000"/>
                <w:sz w:val="20"/>
                <w:szCs w:val="20"/>
              </w:rPr>
              <w:t>Αναπροσαρμοσμένα κέρδη προ φόρων, χρηματοδοτικών και επενδυτικών αποτελεσμάτων (α-EBIT)</w:t>
            </w:r>
          </w:p>
        </w:tc>
        <w:tc>
          <w:tcPr>
            <w:tcW w:w="1157" w:type="dxa"/>
            <w:tcBorders>
              <w:top w:val="nil"/>
              <w:left w:val="nil"/>
              <w:bottom w:val="single" w:sz="8" w:space="0" w:color="A8D08D"/>
              <w:right w:val="single" w:sz="8" w:space="0" w:color="A8D08D"/>
            </w:tcBorders>
            <w:shd w:val="clear" w:color="000000" w:fill="E2EFD9"/>
            <w:noWrap/>
            <w:vAlign w:val="center"/>
          </w:tcPr>
          <w:p w14:paraId="3B29750E" w14:textId="282A69A7"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191</w:t>
            </w:r>
            <w:r>
              <w:rPr>
                <w:rFonts w:ascii="Aptos" w:hAnsi="Aptos" w:cs="Calibri"/>
                <w:b/>
                <w:bCs/>
                <w:color w:val="000000"/>
                <w:sz w:val="20"/>
                <w:szCs w:val="20"/>
              </w:rPr>
              <w:t>.</w:t>
            </w:r>
            <w:r w:rsidRPr="00BE5E19">
              <w:rPr>
                <w:rFonts w:ascii="Aptos" w:hAnsi="Aptos" w:cs="Calibri"/>
                <w:b/>
                <w:bCs/>
                <w:color w:val="000000"/>
                <w:sz w:val="20"/>
                <w:szCs w:val="20"/>
              </w:rPr>
              <w:t>846</w:t>
            </w:r>
          </w:p>
        </w:tc>
        <w:tc>
          <w:tcPr>
            <w:tcW w:w="1158" w:type="dxa"/>
            <w:tcBorders>
              <w:top w:val="nil"/>
              <w:left w:val="nil"/>
              <w:bottom w:val="single" w:sz="8" w:space="0" w:color="A8D08D"/>
              <w:right w:val="single" w:sz="8" w:space="0" w:color="A8D08D"/>
            </w:tcBorders>
            <w:shd w:val="clear" w:color="000000" w:fill="E2EFD9"/>
            <w:noWrap/>
            <w:vAlign w:val="center"/>
          </w:tcPr>
          <w:p w14:paraId="407C5E59" w14:textId="1AF73B1E"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152</w:t>
            </w:r>
            <w:r>
              <w:rPr>
                <w:rFonts w:ascii="Aptos" w:hAnsi="Aptos" w:cs="Calibri"/>
                <w:b/>
                <w:bCs/>
                <w:color w:val="000000"/>
                <w:sz w:val="20"/>
                <w:szCs w:val="20"/>
              </w:rPr>
              <w:t>.</w:t>
            </w:r>
            <w:r w:rsidRPr="00BE5E19">
              <w:rPr>
                <w:rFonts w:ascii="Aptos" w:hAnsi="Aptos" w:cs="Calibri"/>
                <w:b/>
                <w:bCs/>
                <w:color w:val="000000"/>
                <w:sz w:val="20"/>
                <w:szCs w:val="20"/>
              </w:rPr>
              <w:t>549</w:t>
            </w:r>
          </w:p>
        </w:tc>
        <w:tc>
          <w:tcPr>
            <w:tcW w:w="1158" w:type="dxa"/>
            <w:tcBorders>
              <w:top w:val="nil"/>
              <w:left w:val="nil"/>
              <w:bottom w:val="single" w:sz="8" w:space="0" w:color="A8D08D"/>
              <w:right w:val="single" w:sz="8" w:space="0" w:color="A8D08D"/>
            </w:tcBorders>
            <w:shd w:val="clear" w:color="000000" w:fill="E2EFD9"/>
            <w:vAlign w:val="center"/>
          </w:tcPr>
          <w:p w14:paraId="7E3C4203" w14:textId="2B546396" w:rsidR="00174A46" w:rsidRPr="00BE5E19" w:rsidRDefault="00174A46" w:rsidP="00174A46">
            <w:pPr>
              <w:spacing w:after="120" w:line="240" w:lineRule="auto"/>
              <w:jc w:val="right"/>
              <w:rPr>
                <w:rFonts w:ascii="Aptos" w:hAnsi="Aptos" w:cs="Calibri"/>
                <w:b/>
                <w:bCs/>
                <w:color w:val="000000"/>
                <w:sz w:val="20"/>
                <w:szCs w:val="20"/>
                <w:lang w:val="en-GB"/>
              </w:rPr>
            </w:pPr>
            <w:r w:rsidRPr="00BE5E19">
              <w:rPr>
                <w:rFonts w:ascii="Aptos" w:hAnsi="Aptos" w:cs="Calibri"/>
                <w:b/>
                <w:bCs/>
                <w:i/>
                <w:iCs/>
                <w:color w:val="000000"/>
                <w:sz w:val="20"/>
                <w:szCs w:val="20"/>
              </w:rPr>
              <w:t>26%</w:t>
            </w:r>
          </w:p>
        </w:tc>
        <w:tc>
          <w:tcPr>
            <w:tcW w:w="1157" w:type="dxa"/>
            <w:tcBorders>
              <w:top w:val="nil"/>
              <w:left w:val="nil"/>
              <w:bottom w:val="single" w:sz="8" w:space="0" w:color="A8D08D"/>
              <w:right w:val="single" w:sz="8" w:space="0" w:color="A8D08D"/>
            </w:tcBorders>
            <w:shd w:val="clear" w:color="000000" w:fill="E2EFD9"/>
            <w:vAlign w:val="center"/>
          </w:tcPr>
          <w:p w14:paraId="68BD6A71" w14:textId="53309553"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102</w:t>
            </w:r>
            <w:r>
              <w:rPr>
                <w:rFonts w:ascii="Aptos" w:hAnsi="Aptos" w:cs="Calibri"/>
                <w:b/>
                <w:bCs/>
                <w:color w:val="000000"/>
                <w:sz w:val="20"/>
                <w:szCs w:val="20"/>
              </w:rPr>
              <w:t>.</w:t>
            </w:r>
            <w:r w:rsidRPr="00BE5E19">
              <w:rPr>
                <w:rFonts w:ascii="Aptos" w:hAnsi="Aptos" w:cs="Calibri"/>
                <w:b/>
                <w:bCs/>
                <w:color w:val="000000"/>
                <w:sz w:val="20"/>
                <w:szCs w:val="20"/>
              </w:rPr>
              <w:t>764</w:t>
            </w:r>
          </w:p>
        </w:tc>
        <w:tc>
          <w:tcPr>
            <w:tcW w:w="1158" w:type="dxa"/>
            <w:tcBorders>
              <w:top w:val="nil"/>
              <w:left w:val="nil"/>
              <w:bottom w:val="single" w:sz="8" w:space="0" w:color="A8D08D"/>
              <w:right w:val="single" w:sz="8" w:space="0" w:color="A8D08D"/>
            </w:tcBorders>
            <w:shd w:val="clear" w:color="000000" w:fill="E2EFD9"/>
            <w:vAlign w:val="center"/>
          </w:tcPr>
          <w:p w14:paraId="45A96CE8" w14:textId="622FE320"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85</w:t>
            </w:r>
            <w:r>
              <w:rPr>
                <w:rFonts w:ascii="Aptos" w:hAnsi="Aptos" w:cs="Calibri"/>
                <w:b/>
                <w:bCs/>
                <w:color w:val="000000"/>
                <w:sz w:val="20"/>
                <w:szCs w:val="20"/>
              </w:rPr>
              <w:t>.</w:t>
            </w:r>
            <w:r w:rsidRPr="00BE5E19">
              <w:rPr>
                <w:rFonts w:ascii="Aptos" w:hAnsi="Aptos" w:cs="Calibri"/>
                <w:b/>
                <w:bCs/>
                <w:color w:val="000000"/>
                <w:sz w:val="20"/>
                <w:szCs w:val="20"/>
              </w:rPr>
              <w:t>871</w:t>
            </w:r>
          </w:p>
        </w:tc>
        <w:tc>
          <w:tcPr>
            <w:tcW w:w="1158" w:type="dxa"/>
            <w:tcBorders>
              <w:top w:val="nil"/>
              <w:left w:val="nil"/>
              <w:bottom w:val="single" w:sz="8" w:space="0" w:color="A8D08D"/>
              <w:right w:val="single" w:sz="8" w:space="0" w:color="A8D08D"/>
            </w:tcBorders>
            <w:shd w:val="clear" w:color="000000" w:fill="E2EFD9"/>
            <w:vAlign w:val="center"/>
          </w:tcPr>
          <w:p w14:paraId="0FC3E3CA" w14:textId="4B585D03"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20%</w:t>
            </w:r>
          </w:p>
        </w:tc>
      </w:tr>
      <w:tr w:rsidR="009A5CF2" w:rsidRPr="00BE5E19" w14:paraId="19994725"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vAlign w:val="center"/>
            <w:hideMark/>
          </w:tcPr>
          <w:p w14:paraId="38400E1C" w14:textId="48D67BA1" w:rsidR="009A5CF2" w:rsidRPr="00BE5E19" w:rsidRDefault="00174A46" w:rsidP="009A5CF2">
            <w:pPr>
              <w:spacing w:after="120" w:line="240" w:lineRule="auto"/>
              <w:jc w:val="both"/>
              <w:rPr>
                <w:rFonts w:ascii="Aptos" w:eastAsia="Times New Roman" w:hAnsi="Aptos" w:cs="Calibri"/>
                <w:i/>
                <w:iCs/>
                <w:color w:val="000000"/>
                <w:sz w:val="20"/>
                <w:szCs w:val="20"/>
                <w:lang w:val="en-GB"/>
              </w:rPr>
            </w:pPr>
            <w:r w:rsidRPr="0037795B">
              <w:rPr>
                <w:rFonts w:asciiTheme="minorHAnsi" w:eastAsia="Times New Roman" w:hAnsiTheme="minorHAnsi" w:cstheme="minorHAnsi"/>
                <w:i/>
                <w:iCs/>
                <w:color w:val="000000"/>
                <w:sz w:val="20"/>
                <w:szCs w:val="20"/>
              </w:rPr>
              <w:t>Περιθώριο a-EBIT (%)</w:t>
            </w:r>
          </w:p>
        </w:tc>
        <w:tc>
          <w:tcPr>
            <w:tcW w:w="1157" w:type="dxa"/>
            <w:tcBorders>
              <w:top w:val="nil"/>
              <w:left w:val="nil"/>
              <w:bottom w:val="single" w:sz="8" w:space="0" w:color="A8D08D"/>
              <w:right w:val="single" w:sz="8" w:space="0" w:color="A8D08D"/>
            </w:tcBorders>
            <w:shd w:val="clear" w:color="000000" w:fill="E2EFD9"/>
            <w:noWrap/>
            <w:vAlign w:val="center"/>
          </w:tcPr>
          <w:p w14:paraId="0C6A205E" w14:textId="43D221FB" w:rsidR="009A5CF2" w:rsidRPr="00BE5E19" w:rsidRDefault="009A5CF2" w:rsidP="009A5CF2">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16</w:t>
            </w:r>
            <w:r w:rsidR="00174A46">
              <w:rPr>
                <w:rFonts w:ascii="Aptos" w:hAnsi="Aptos" w:cs="Calibri"/>
                <w:i/>
                <w:iCs/>
                <w:color w:val="000000"/>
                <w:sz w:val="20"/>
                <w:szCs w:val="20"/>
              </w:rPr>
              <w:t>,</w:t>
            </w:r>
            <w:r w:rsidRPr="00BE5E19">
              <w:rPr>
                <w:rFonts w:ascii="Aptos" w:hAnsi="Aptos" w:cs="Calibri"/>
                <w:i/>
                <w:iCs/>
                <w:color w:val="000000"/>
                <w:sz w:val="20"/>
                <w:szCs w:val="20"/>
              </w:rPr>
              <w:t>6%</w:t>
            </w:r>
          </w:p>
        </w:tc>
        <w:tc>
          <w:tcPr>
            <w:tcW w:w="1158" w:type="dxa"/>
            <w:tcBorders>
              <w:top w:val="nil"/>
              <w:left w:val="nil"/>
              <w:bottom w:val="single" w:sz="8" w:space="0" w:color="A8D08D"/>
              <w:right w:val="single" w:sz="8" w:space="0" w:color="A8D08D"/>
            </w:tcBorders>
            <w:shd w:val="clear" w:color="000000" w:fill="E2EFD9"/>
            <w:noWrap/>
            <w:vAlign w:val="center"/>
          </w:tcPr>
          <w:p w14:paraId="5E68619B" w14:textId="3794D8FA" w:rsidR="009A5CF2" w:rsidRPr="00BE5E19" w:rsidRDefault="009A5CF2" w:rsidP="009A5CF2">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14</w:t>
            </w:r>
            <w:r w:rsidR="00174A46">
              <w:rPr>
                <w:rFonts w:ascii="Aptos" w:hAnsi="Aptos" w:cs="Calibri"/>
                <w:i/>
                <w:iCs/>
                <w:color w:val="000000"/>
                <w:sz w:val="20"/>
                <w:szCs w:val="20"/>
              </w:rPr>
              <w:t>,</w:t>
            </w:r>
            <w:r w:rsidRPr="00BE5E19">
              <w:rPr>
                <w:rFonts w:ascii="Aptos" w:hAnsi="Aptos" w:cs="Calibri"/>
                <w:i/>
                <w:iCs/>
                <w:color w:val="000000"/>
                <w:sz w:val="20"/>
                <w:szCs w:val="20"/>
              </w:rPr>
              <w:t>9%</w:t>
            </w:r>
          </w:p>
        </w:tc>
        <w:tc>
          <w:tcPr>
            <w:tcW w:w="1158" w:type="dxa"/>
            <w:tcBorders>
              <w:top w:val="nil"/>
              <w:left w:val="nil"/>
              <w:bottom w:val="single" w:sz="8" w:space="0" w:color="A8D08D"/>
              <w:right w:val="single" w:sz="8" w:space="0" w:color="A8D08D"/>
            </w:tcBorders>
            <w:shd w:val="clear" w:color="000000" w:fill="E2EFD9"/>
            <w:vAlign w:val="center"/>
          </w:tcPr>
          <w:p w14:paraId="65755EA2" w14:textId="421CAC5F" w:rsidR="009A5CF2" w:rsidRPr="00BE5E19" w:rsidRDefault="009A5CF2" w:rsidP="009A5CF2">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171 </w:t>
            </w:r>
            <w:r w:rsidR="00174A46">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E2EFD9"/>
            <w:vAlign w:val="center"/>
          </w:tcPr>
          <w:p w14:paraId="62BC5932" w14:textId="0E8C61E1" w:rsidR="009A5CF2" w:rsidRPr="00BE5E19" w:rsidRDefault="009A5CF2" w:rsidP="009A5CF2">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16</w:t>
            </w:r>
            <w:r w:rsidR="00174A46">
              <w:rPr>
                <w:rFonts w:ascii="Aptos" w:hAnsi="Aptos" w:cs="Calibri"/>
                <w:i/>
                <w:iCs/>
                <w:color w:val="000000"/>
                <w:sz w:val="20"/>
                <w:szCs w:val="20"/>
              </w:rPr>
              <w:t>,</w:t>
            </w:r>
            <w:r w:rsidRPr="00BE5E19">
              <w:rPr>
                <w:rFonts w:ascii="Aptos" w:hAnsi="Aptos" w:cs="Calibri"/>
                <w:i/>
                <w:iCs/>
                <w:color w:val="000000"/>
                <w:sz w:val="20"/>
                <w:szCs w:val="20"/>
              </w:rPr>
              <w:t>0%</w:t>
            </w:r>
          </w:p>
        </w:tc>
        <w:tc>
          <w:tcPr>
            <w:tcW w:w="1158" w:type="dxa"/>
            <w:tcBorders>
              <w:top w:val="nil"/>
              <w:left w:val="nil"/>
              <w:bottom w:val="single" w:sz="8" w:space="0" w:color="A8D08D"/>
              <w:right w:val="single" w:sz="8" w:space="0" w:color="A8D08D"/>
            </w:tcBorders>
            <w:shd w:val="clear" w:color="000000" w:fill="E2EFD9"/>
            <w:vAlign w:val="center"/>
          </w:tcPr>
          <w:p w14:paraId="6EB6C607" w14:textId="5E5E1117" w:rsidR="009A5CF2" w:rsidRPr="00BE5E19" w:rsidRDefault="009A5CF2" w:rsidP="009A5CF2">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16</w:t>
            </w:r>
            <w:r w:rsidR="00174A46">
              <w:rPr>
                <w:rFonts w:ascii="Aptos" w:hAnsi="Aptos" w:cs="Calibri"/>
                <w:i/>
                <w:iCs/>
                <w:color w:val="000000"/>
                <w:sz w:val="20"/>
                <w:szCs w:val="20"/>
              </w:rPr>
              <w:t>,</w:t>
            </w:r>
            <w:r w:rsidRPr="00BE5E19">
              <w:rPr>
                <w:rFonts w:ascii="Aptos" w:hAnsi="Aptos" w:cs="Calibri"/>
                <w:i/>
                <w:iCs/>
                <w:color w:val="000000"/>
                <w:sz w:val="20"/>
                <w:szCs w:val="20"/>
              </w:rPr>
              <w:t>1%</w:t>
            </w:r>
          </w:p>
        </w:tc>
        <w:tc>
          <w:tcPr>
            <w:tcW w:w="1158" w:type="dxa"/>
            <w:tcBorders>
              <w:top w:val="nil"/>
              <w:left w:val="nil"/>
              <w:bottom w:val="single" w:sz="8" w:space="0" w:color="A8D08D"/>
              <w:right w:val="single" w:sz="8" w:space="0" w:color="A8D08D"/>
            </w:tcBorders>
            <w:shd w:val="clear" w:color="000000" w:fill="E2EFD9"/>
            <w:vAlign w:val="center"/>
          </w:tcPr>
          <w:p w14:paraId="74D7E5D6" w14:textId="49039A12" w:rsidR="009A5CF2" w:rsidRPr="00BE5E19" w:rsidRDefault="009A5CF2" w:rsidP="009A5CF2">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-8 </w:t>
            </w:r>
            <w:r w:rsidR="00174A46">
              <w:rPr>
                <w:rFonts w:ascii="Aptos" w:hAnsi="Aptos" w:cs="Calibri"/>
                <w:i/>
                <w:iCs/>
                <w:color w:val="000000"/>
                <w:sz w:val="20"/>
                <w:szCs w:val="20"/>
              </w:rPr>
              <w:t>μβ</w:t>
            </w:r>
          </w:p>
        </w:tc>
      </w:tr>
      <w:tr w:rsidR="00174A46" w:rsidRPr="00BE5E19" w14:paraId="0B73BFF7"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vAlign w:val="center"/>
            <w:hideMark/>
          </w:tcPr>
          <w:p w14:paraId="284B086C" w14:textId="4D5F97C3" w:rsidR="00174A46" w:rsidRPr="00174A46" w:rsidRDefault="00174A46" w:rsidP="00174A46">
            <w:pPr>
              <w:spacing w:after="120" w:line="240" w:lineRule="auto"/>
              <w:jc w:val="both"/>
              <w:rPr>
                <w:rFonts w:ascii="Aptos" w:eastAsia="Times New Roman" w:hAnsi="Aptos" w:cs="Calibri"/>
                <w:b/>
                <w:bCs/>
                <w:color w:val="000000"/>
                <w:sz w:val="20"/>
                <w:szCs w:val="20"/>
              </w:rPr>
            </w:pPr>
            <w:r w:rsidRPr="0037795B">
              <w:rPr>
                <w:rFonts w:asciiTheme="minorHAnsi" w:eastAsia="Times New Roman" w:hAnsiTheme="minorHAnsi" w:cstheme="minorHAnsi"/>
                <w:b/>
                <w:bCs/>
                <w:color w:val="000000"/>
                <w:sz w:val="20"/>
                <w:szCs w:val="20"/>
              </w:rPr>
              <w:t>Κέρδη προ φόρων, χρηματοδοτικών και επενδυτικών αποτελεσμάτων (EBIT)</w:t>
            </w:r>
          </w:p>
        </w:tc>
        <w:tc>
          <w:tcPr>
            <w:tcW w:w="1157" w:type="dxa"/>
            <w:tcBorders>
              <w:top w:val="nil"/>
              <w:left w:val="nil"/>
              <w:bottom w:val="single" w:sz="8" w:space="0" w:color="A8D08D"/>
              <w:right w:val="single" w:sz="8" w:space="0" w:color="A8D08D"/>
            </w:tcBorders>
            <w:shd w:val="clear" w:color="000000" w:fill="FFFFFF"/>
            <w:noWrap/>
            <w:vAlign w:val="center"/>
          </w:tcPr>
          <w:p w14:paraId="618ED0A1" w14:textId="7B2C5E6F" w:rsidR="00174A46" w:rsidRPr="006C77F2" w:rsidRDefault="00174A46" w:rsidP="00174A46">
            <w:pPr>
              <w:spacing w:after="120" w:line="240" w:lineRule="auto"/>
              <w:jc w:val="right"/>
              <w:rPr>
                <w:rFonts w:ascii="Aptos" w:eastAsia="Times New Roman" w:hAnsi="Aptos" w:cs="Calibri"/>
                <w:b/>
                <w:bCs/>
                <w:color w:val="000000"/>
                <w:sz w:val="20"/>
                <w:szCs w:val="20"/>
                <w:lang w:val="en-GB"/>
              </w:rPr>
            </w:pPr>
            <w:r w:rsidRPr="006C77F2">
              <w:rPr>
                <w:rFonts w:ascii="Aptos" w:hAnsi="Aptos" w:cs="Calibri"/>
                <w:b/>
                <w:bCs/>
                <w:color w:val="000000"/>
                <w:sz w:val="20"/>
                <w:szCs w:val="20"/>
              </w:rPr>
              <w:t>198.945</w:t>
            </w:r>
          </w:p>
        </w:tc>
        <w:tc>
          <w:tcPr>
            <w:tcW w:w="1158" w:type="dxa"/>
            <w:tcBorders>
              <w:top w:val="nil"/>
              <w:left w:val="nil"/>
              <w:bottom w:val="single" w:sz="8" w:space="0" w:color="A8D08D"/>
              <w:right w:val="single" w:sz="8" w:space="0" w:color="A8D08D"/>
            </w:tcBorders>
            <w:shd w:val="clear" w:color="000000" w:fill="FFFFFF"/>
            <w:noWrap/>
            <w:vAlign w:val="center"/>
          </w:tcPr>
          <w:p w14:paraId="3EE68F93" w14:textId="2135E901" w:rsidR="00174A46" w:rsidRPr="006C77F2" w:rsidRDefault="00174A46" w:rsidP="00174A46">
            <w:pPr>
              <w:spacing w:after="120" w:line="240" w:lineRule="auto"/>
              <w:jc w:val="right"/>
              <w:rPr>
                <w:rFonts w:ascii="Aptos" w:eastAsia="Times New Roman" w:hAnsi="Aptos" w:cs="Calibri"/>
                <w:b/>
                <w:bCs/>
                <w:color w:val="000000"/>
                <w:sz w:val="20"/>
                <w:szCs w:val="20"/>
                <w:lang w:val="en-GB"/>
              </w:rPr>
            </w:pPr>
            <w:r w:rsidRPr="006C77F2">
              <w:rPr>
                <w:rFonts w:ascii="Aptos" w:hAnsi="Aptos" w:cs="Calibri"/>
                <w:b/>
                <w:bCs/>
                <w:color w:val="000000"/>
                <w:sz w:val="20"/>
                <w:szCs w:val="20"/>
              </w:rPr>
              <w:t>152.850</w:t>
            </w:r>
          </w:p>
        </w:tc>
        <w:tc>
          <w:tcPr>
            <w:tcW w:w="1158" w:type="dxa"/>
            <w:tcBorders>
              <w:top w:val="nil"/>
              <w:left w:val="nil"/>
              <w:bottom w:val="single" w:sz="8" w:space="0" w:color="A8D08D"/>
              <w:right w:val="single" w:sz="8" w:space="0" w:color="A8D08D"/>
            </w:tcBorders>
            <w:shd w:val="clear" w:color="000000" w:fill="FFFFFF"/>
            <w:vAlign w:val="center"/>
          </w:tcPr>
          <w:p w14:paraId="2E1EC123" w14:textId="7669DA1A" w:rsidR="00174A46" w:rsidRPr="006C77F2" w:rsidRDefault="00174A46" w:rsidP="00174A46">
            <w:pPr>
              <w:spacing w:after="120" w:line="240" w:lineRule="auto"/>
              <w:jc w:val="right"/>
              <w:rPr>
                <w:rFonts w:ascii="Aptos" w:hAnsi="Aptos" w:cs="Calibri"/>
                <w:b/>
                <w:bCs/>
                <w:color w:val="000000"/>
                <w:sz w:val="20"/>
                <w:szCs w:val="20"/>
                <w:lang w:val="en-GB"/>
              </w:rPr>
            </w:pPr>
            <w:r w:rsidRPr="006C77F2">
              <w:rPr>
                <w:rFonts w:ascii="Aptos" w:hAnsi="Aptos" w:cs="Calibri"/>
                <w:b/>
                <w:bCs/>
                <w:i/>
                <w:iCs/>
                <w:color w:val="000000"/>
                <w:sz w:val="20"/>
                <w:szCs w:val="20"/>
              </w:rPr>
              <w:t>30%</w:t>
            </w:r>
          </w:p>
        </w:tc>
        <w:tc>
          <w:tcPr>
            <w:tcW w:w="1157" w:type="dxa"/>
            <w:tcBorders>
              <w:top w:val="nil"/>
              <w:left w:val="nil"/>
              <w:bottom w:val="single" w:sz="8" w:space="0" w:color="A8D08D"/>
              <w:right w:val="single" w:sz="8" w:space="0" w:color="A8D08D"/>
            </w:tcBorders>
            <w:shd w:val="clear" w:color="000000" w:fill="FFFFFF"/>
            <w:vAlign w:val="center"/>
          </w:tcPr>
          <w:p w14:paraId="6CE4212C" w14:textId="4F35C5CE"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color w:val="000000"/>
                <w:sz w:val="20"/>
                <w:szCs w:val="20"/>
              </w:rPr>
              <w:t>95.385</w:t>
            </w:r>
          </w:p>
        </w:tc>
        <w:tc>
          <w:tcPr>
            <w:tcW w:w="1158" w:type="dxa"/>
            <w:tcBorders>
              <w:top w:val="nil"/>
              <w:left w:val="nil"/>
              <w:bottom w:val="single" w:sz="8" w:space="0" w:color="A8D08D"/>
              <w:right w:val="single" w:sz="8" w:space="0" w:color="A8D08D"/>
            </w:tcBorders>
            <w:shd w:val="clear" w:color="000000" w:fill="FFFFFF"/>
            <w:vAlign w:val="center"/>
          </w:tcPr>
          <w:p w14:paraId="06D97D70" w14:textId="177924C4"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color w:val="000000"/>
                <w:sz w:val="20"/>
                <w:szCs w:val="20"/>
              </w:rPr>
              <w:t>83.569</w:t>
            </w:r>
          </w:p>
        </w:tc>
        <w:tc>
          <w:tcPr>
            <w:tcW w:w="1158" w:type="dxa"/>
            <w:tcBorders>
              <w:top w:val="nil"/>
              <w:left w:val="nil"/>
              <w:bottom w:val="single" w:sz="8" w:space="0" w:color="A8D08D"/>
              <w:right w:val="single" w:sz="8" w:space="0" w:color="A8D08D"/>
            </w:tcBorders>
            <w:shd w:val="clear" w:color="000000" w:fill="FFFFFF"/>
            <w:vAlign w:val="center"/>
          </w:tcPr>
          <w:p w14:paraId="60ADED41" w14:textId="04960218" w:rsidR="00174A46" w:rsidRPr="006C77F2" w:rsidRDefault="00174A46" w:rsidP="00174A46">
            <w:pPr>
              <w:spacing w:after="120" w:line="240" w:lineRule="auto"/>
              <w:jc w:val="right"/>
              <w:rPr>
                <w:rFonts w:ascii="Aptos" w:hAnsi="Aptos" w:cs="Calibri"/>
                <w:b/>
                <w:bCs/>
                <w:i/>
                <w:iCs/>
                <w:color w:val="000000"/>
                <w:sz w:val="20"/>
                <w:szCs w:val="20"/>
                <w:lang w:val="en-GB"/>
              </w:rPr>
            </w:pPr>
            <w:r w:rsidRPr="006C77F2">
              <w:rPr>
                <w:rFonts w:ascii="Aptos" w:hAnsi="Aptos" w:cs="Calibri"/>
                <w:b/>
                <w:bCs/>
                <w:i/>
                <w:iCs/>
                <w:color w:val="000000"/>
                <w:sz w:val="20"/>
                <w:szCs w:val="20"/>
              </w:rPr>
              <w:t>14%</w:t>
            </w:r>
          </w:p>
        </w:tc>
      </w:tr>
      <w:tr w:rsidR="00174A46" w:rsidRPr="00BE5E19" w14:paraId="5CB90E02"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7298290A" w14:textId="32EC0629" w:rsidR="00174A46" w:rsidRPr="00BE5E19" w:rsidRDefault="00174A46" w:rsidP="00174A46">
            <w:pPr>
              <w:spacing w:after="120" w:line="240" w:lineRule="auto"/>
              <w:jc w:val="both"/>
              <w:rPr>
                <w:rFonts w:ascii="Aptos" w:eastAsia="Times New Roman" w:hAnsi="Aptos" w:cs="Calibri"/>
                <w:i/>
                <w:iCs/>
                <w:color w:val="000000"/>
                <w:sz w:val="20"/>
                <w:szCs w:val="20"/>
                <w:lang w:val="en-GB"/>
              </w:rPr>
            </w:pPr>
            <w:r w:rsidRPr="0037795B">
              <w:rPr>
                <w:rFonts w:asciiTheme="minorHAnsi" w:eastAsia="Times New Roman" w:hAnsiTheme="minorHAnsi" w:cstheme="minorHAnsi"/>
                <w:i/>
                <w:iCs/>
                <w:color w:val="000000"/>
                <w:sz w:val="20"/>
                <w:szCs w:val="20"/>
              </w:rPr>
              <w:t>Περιθώριο EBIT (%)</w:t>
            </w:r>
          </w:p>
        </w:tc>
        <w:tc>
          <w:tcPr>
            <w:tcW w:w="1157" w:type="dxa"/>
            <w:tcBorders>
              <w:top w:val="nil"/>
              <w:left w:val="nil"/>
              <w:bottom w:val="single" w:sz="8" w:space="0" w:color="A8D08D"/>
              <w:right w:val="single" w:sz="8" w:space="0" w:color="A8D08D"/>
            </w:tcBorders>
            <w:shd w:val="clear" w:color="000000" w:fill="FFFFFF"/>
            <w:noWrap/>
            <w:vAlign w:val="center"/>
          </w:tcPr>
          <w:p w14:paraId="526B5B52" w14:textId="74FBAB7A"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17</w:t>
            </w:r>
            <w:r>
              <w:rPr>
                <w:rFonts w:ascii="Aptos" w:hAnsi="Aptos" w:cs="Calibri"/>
                <w:i/>
                <w:iCs/>
                <w:color w:val="000000"/>
                <w:sz w:val="20"/>
                <w:szCs w:val="20"/>
              </w:rPr>
              <w:t>,</w:t>
            </w:r>
            <w:r w:rsidRPr="00BE5E19">
              <w:rPr>
                <w:rFonts w:ascii="Aptos" w:hAnsi="Aptos" w:cs="Calibri"/>
                <w:i/>
                <w:iCs/>
                <w:color w:val="000000"/>
                <w:sz w:val="20"/>
                <w:szCs w:val="20"/>
              </w:rPr>
              <w:t>3%</w:t>
            </w:r>
          </w:p>
        </w:tc>
        <w:tc>
          <w:tcPr>
            <w:tcW w:w="1158" w:type="dxa"/>
            <w:tcBorders>
              <w:top w:val="nil"/>
              <w:left w:val="nil"/>
              <w:bottom w:val="single" w:sz="8" w:space="0" w:color="A8D08D"/>
              <w:right w:val="single" w:sz="8" w:space="0" w:color="A8D08D"/>
            </w:tcBorders>
            <w:shd w:val="clear" w:color="000000" w:fill="FFFFFF"/>
            <w:noWrap/>
            <w:vAlign w:val="center"/>
          </w:tcPr>
          <w:p w14:paraId="7B9B27D6" w14:textId="0F80831B"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15</w:t>
            </w:r>
            <w:r>
              <w:rPr>
                <w:rFonts w:ascii="Aptos" w:hAnsi="Aptos" w:cs="Calibri"/>
                <w:i/>
                <w:iCs/>
                <w:color w:val="000000"/>
                <w:sz w:val="20"/>
                <w:szCs w:val="20"/>
              </w:rPr>
              <w:t>,</w:t>
            </w:r>
            <w:r w:rsidRPr="00BE5E19">
              <w:rPr>
                <w:rFonts w:ascii="Aptos" w:hAnsi="Aptos" w:cs="Calibri"/>
                <w:i/>
                <w:iCs/>
                <w:color w:val="000000"/>
                <w:sz w:val="20"/>
                <w:szCs w:val="20"/>
              </w:rPr>
              <w:t>0%</w:t>
            </w:r>
          </w:p>
        </w:tc>
        <w:tc>
          <w:tcPr>
            <w:tcW w:w="1158" w:type="dxa"/>
            <w:tcBorders>
              <w:top w:val="nil"/>
              <w:left w:val="nil"/>
              <w:bottom w:val="single" w:sz="8" w:space="0" w:color="A8D08D"/>
              <w:right w:val="single" w:sz="8" w:space="0" w:color="A8D08D"/>
            </w:tcBorders>
            <w:shd w:val="clear" w:color="000000" w:fill="FFFFFF"/>
            <w:vAlign w:val="center"/>
          </w:tcPr>
          <w:p w14:paraId="0A542EC9" w14:textId="2FCA20E7"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230 </w:t>
            </w:r>
            <w:r>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FFFFFF"/>
            <w:vAlign w:val="center"/>
          </w:tcPr>
          <w:p w14:paraId="5A939A2D" w14:textId="56F2B8A8"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14</w:t>
            </w:r>
            <w:r>
              <w:rPr>
                <w:rFonts w:ascii="Aptos" w:hAnsi="Aptos" w:cs="Calibri"/>
                <w:i/>
                <w:iCs/>
                <w:color w:val="000000"/>
                <w:sz w:val="20"/>
                <w:szCs w:val="20"/>
              </w:rPr>
              <w:t>,</w:t>
            </w:r>
            <w:r w:rsidRPr="00BE5E19">
              <w:rPr>
                <w:rFonts w:ascii="Aptos" w:hAnsi="Aptos" w:cs="Calibri"/>
                <w:i/>
                <w:iCs/>
                <w:color w:val="000000"/>
                <w:sz w:val="20"/>
                <w:szCs w:val="20"/>
              </w:rPr>
              <w:t>8%</w:t>
            </w:r>
          </w:p>
        </w:tc>
        <w:tc>
          <w:tcPr>
            <w:tcW w:w="1158" w:type="dxa"/>
            <w:tcBorders>
              <w:top w:val="nil"/>
              <w:left w:val="nil"/>
              <w:bottom w:val="single" w:sz="8" w:space="0" w:color="A8D08D"/>
              <w:right w:val="single" w:sz="8" w:space="0" w:color="A8D08D"/>
            </w:tcBorders>
            <w:shd w:val="clear" w:color="000000" w:fill="FFFFFF"/>
            <w:vAlign w:val="center"/>
          </w:tcPr>
          <w:p w14:paraId="6B8EA349" w14:textId="73CC5BDC"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15</w:t>
            </w:r>
            <w:r>
              <w:rPr>
                <w:rFonts w:ascii="Aptos" w:hAnsi="Aptos" w:cs="Calibri"/>
                <w:i/>
                <w:iCs/>
                <w:color w:val="000000"/>
                <w:sz w:val="20"/>
                <w:szCs w:val="20"/>
              </w:rPr>
              <w:t>,</w:t>
            </w:r>
            <w:r w:rsidRPr="00BE5E19">
              <w:rPr>
                <w:rFonts w:ascii="Aptos" w:hAnsi="Aptos" w:cs="Calibri"/>
                <w:i/>
                <w:iCs/>
                <w:color w:val="000000"/>
                <w:sz w:val="20"/>
                <w:szCs w:val="20"/>
              </w:rPr>
              <w:t>6%</w:t>
            </w:r>
          </w:p>
        </w:tc>
        <w:tc>
          <w:tcPr>
            <w:tcW w:w="1158" w:type="dxa"/>
            <w:tcBorders>
              <w:top w:val="nil"/>
              <w:left w:val="nil"/>
              <w:bottom w:val="single" w:sz="8" w:space="0" w:color="A8D08D"/>
              <w:right w:val="single" w:sz="8" w:space="0" w:color="A8D08D"/>
            </w:tcBorders>
            <w:shd w:val="clear" w:color="000000" w:fill="FFFFFF"/>
            <w:vAlign w:val="center"/>
          </w:tcPr>
          <w:p w14:paraId="5A1B19C9" w14:textId="52F3772B"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-79 </w:t>
            </w:r>
            <w:r>
              <w:rPr>
                <w:rFonts w:ascii="Aptos" w:hAnsi="Aptos" w:cs="Calibri"/>
                <w:i/>
                <w:iCs/>
                <w:color w:val="000000"/>
                <w:sz w:val="20"/>
                <w:szCs w:val="20"/>
              </w:rPr>
              <w:t>μβ</w:t>
            </w:r>
          </w:p>
        </w:tc>
      </w:tr>
      <w:tr w:rsidR="00174A46" w:rsidRPr="00BE5E19" w14:paraId="0BA03796"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vAlign w:val="center"/>
            <w:hideMark/>
          </w:tcPr>
          <w:p w14:paraId="425B4256" w14:textId="77B8C305" w:rsidR="00174A46" w:rsidRPr="00BE5E19" w:rsidRDefault="00174A46" w:rsidP="00174A46">
            <w:pPr>
              <w:spacing w:after="120" w:line="240" w:lineRule="auto"/>
              <w:jc w:val="both"/>
              <w:rPr>
                <w:rFonts w:ascii="Aptos" w:eastAsia="Times New Roman" w:hAnsi="Aptos" w:cs="Calibri"/>
                <w:color w:val="000000"/>
                <w:sz w:val="20"/>
                <w:szCs w:val="20"/>
                <w:lang w:val="en-GB"/>
              </w:rPr>
            </w:pPr>
            <w:r>
              <w:rPr>
                <w:rFonts w:asciiTheme="minorHAnsi" w:eastAsia="Times New Roman" w:hAnsiTheme="minorHAnsi" w:cstheme="minorHAnsi"/>
                <w:color w:val="000000"/>
                <w:sz w:val="20"/>
                <w:szCs w:val="20"/>
              </w:rPr>
              <w:t>Καθαρό χρηματοοικονομικό κόστος</w:t>
            </w:r>
          </w:p>
        </w:tc>
        <w:tc>
          <w:tcPr>
            <w:tcW w:w="1157" w:type="dxa"/>
            <w:tcBorders>
              <w:top w:val="nil"/>
              <w:left w:val="nil"/>
              <w:bottom w:val="single" w:sz="8" w:space="0" w:color="A8D08D"/>
              <w:right w:val="single" w:sz="8" w:space="0" w:color="A8D08D"/>
            </w:tcBorders>
            <w:shd w:val="clear" w:color="000000" w:fill="FFFFFF"/>
            <w:noWrap/>
            <w:vAlign w:val="center"/>
          </w:tcPr>
          <w:p w14:paraId="420CAE64" w14:textId="52CA76AC"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(21</w:t>
            </w:r>
            <w:r>
              <w:rPr>
                <w:rFonts w:ascii="Aptos" w:hAnsi="Aptos" w:cs="Calibri"/>
                <w:color w:val="000000"/>
                <w:sz w:val="20"/>
                <w:szCs w:val="20"/>
              </w:rPr>
              <w:t>.</w:t>
            </w:r>
            <w:r w:rsidRPr="00BE5E19">
              <w:rPr>
                <w:rFonts w:ascii="Aptos" w:hAnsi="Aptos" w:cs="Calibri"/>
                <w:color w:val="000000"/>
                <w:sz w:val="20"/>
                <w:szCs w:val="20"/>
              </w:rPr>
              <w:t>940)</w:t>
            </w:r>
          </w:p>
        </w:tc>
        <w:tc>
          <w:tcPr>
            <w:tcW w:w="1158" w:type="dxa"/>
            <w:tcBorders>
              <w:top w:val="nil"/>
              <w:left w:val="nil"/>
              <w:bottom w:val="single" w:sz="8" w:space="0" w:color="A8D08D"/>
              <w:right w:val="single" w:sz="8" w:space="0" w:color="A8D08D"/>
            </w:tcBorders>
            <w:shd w:val="clear" w:color="000000" w:fill="FFFFFF"/>
            <w:noWrap/>
            <w:vAlign w:val="center"/>
          </w:tcPr>
          <w:p w14:paraId="7B8B014D" w14:textId="38CB61AC"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(29</w:t>
            </w:r>
            <w:r>
              <w:rPr>
                <w:rFonts w:ascii="Aptos" w:hAnsi="Aptos" w:cs="Calibri"/>
                <w:color w:val="000000"/>
                <w:sz w:val="20"/>
                <w:szCs w:val="20"/>
              </w:rPr>
              <w:t>.</w:t>
            </w:r>
            <w:r w:rsidRPr="00BE5E19">
              <w:rPr>
                <w:rFonts w:ascii="Aptos" w:hAnsi="Aptos" w:cs="Calibri"/>
                <w:color w:val="000000"/>
                <w:sz w:val="20"/>
                <w:szCs w:val="20"/>
              </w:rPr>
              <w:t>300)</w:t>
            </w:r>
          </w:p>
        </w:tc>
        <w:tc>
          <w:tcPr>
            <w:tcW w:w="1158" w:type="dxa"/>
            <w:tcBorders>
              <w:top w:val="nil"/>
              <w:left w:val="nil"/>
              <w:bottom w:val="single" w:sz="8" w:space="0" w:color="A8D08D"/>
              <w:right w:val="single" w:sz="8" w:space="0" w:color="A8D08D"/>
            </w:tcBorders>
            <w:shd w:val="clear" w:color="000000" w:fill="FFFFFF"/>
            <w:vAlign w:val="center"/>
          </w:tcPr>
          <w:p w14:paraId="1EBDD20C" w14:textId="7D825EC1" w:rsidR="00174A46" w:rsidRPr="00BE5E19" w:rsidRDefault="00174A46" w:rsidP="00174A46">
            <w:pPr>
              <w:spacing w:after="120" w:line="240" w:lineRule="auto"/>
              <w:jc w:val="right"/>
              <w:rPr>
                <w:rFonts w:ascii="Aptos" w:hAnsi="Aptos" w:cs="Calibri"/>
                <w:color w:val="000000"/>
                <w:sz w:val="20"/>
                <w:szCs w:val="20"/>
                <w:lang w:val="en-GB"/>
              </w:rPr>
            </w:pPr>
            <w:r w:rsidRPr="00BE5E19">
              <w:rPr>
                <w:rFonts w:ascii="Aptos" w:hAnsi="Aptos" w:cs="Calibri"/>
                <w:i/>
                <w:iCs/>
                <w:color w:val="000000"/>
                <w:sz w:val="20"/>
                <w:szCs w:val="20"/>
              </w:rPr>
              <w:t>-25%</w:t>
            </w:r>
          </w:p>
        </w:tc>
        <w:tc>
          <w:tcPr>
            <w:tcW w:w="1157" w:type="dxa"/>
            <w:tcBorders>
              <w:top w:val="nil"/>
              <w:left w:val="nil"/>
              <w:bottom w:val="single" w:sz="8" w:space="0" w:color="A8D08D"/>
              <w:right w:val="single" w:sz="8" w:space="0" w:color="A8D08D"/>
            </w:tcBorders>
            <w:shd w:val="clear" w:color="000000" w:fill="FFFFFF"/>
            <w:vAlign w:val="center"/>
          </w:tcPr>
          <w:p w14:paraId="732FDF90" w14:textId="5B192503"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(11</w:t>
            </w:r>
            <w:r>
              <w:rPr>
                <w:rFonts w:ascii="Aptos" w:hAnsi="Aptos" w:cs="Calibri"/>
                <w:color w:val="000000"/>
                <w:sz w:val="20"/>
                <w:szCs w:val="20"/>
              </w:rPr>
              <w:t>.</w:t>
            </w:r>
            <w:r w:rsidRPr="00BE5E19">
              <w:rPr>
                <w:rFonts w:ascii="Aptos" w:hAnsi="Aptos" w:cs="Calibri"/>
                <w:color w:val="000000"/>
                <w:sz w:val="20"/>
                <w:szCs w:val="20"/>
              </w:rPr>
              <w:t>756)</w:t>
            </w:r>
          </w:p>
        </w:tc>
        <w:tc>
          <w:tcPr>
            <w:tcW w:w="1158" w:type="dxa"/>
            <w:tcBorders>
              <w:top w:val="nil"/>
              <w:left w:val="nil"/>
              <w:bottom w:val="single" w:sz="8" w:space="0" w:color="A8D08D"/>
              <w:right w:val="single" w:sz="8" w:space="0" w:color="A8D08D"/>
            </w:tcBorders>
            <w:shd w:val="clear" w:color="000000" w:fill="FFFFFF"/>
            <w:vAlign w:val="center"/>
          </w:tcPr>
          <w:p w14:paraId="0EA082EA" w14:textId="7AC09267"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(14</w:t>
            </w:r>
            <w:r>
              <w:rPr>
                <w:rFonts w:ascii="Aptos" w:hAnsi="Aptos" w:cs="Calibri"/>
                <w:color w:val="000000"/>
                <w:sz w:val="20"/>
                <w:szCs w:val="20"/>
              </w:rPr>
              <w:t>.</w:t>
            </w:r>
            <w:r w:rsidRPr="00BE5E19">
              <w:rPr>
                <w:rFonts w:ascii="Aptos" w:hAnsi="Aptos" w:cs="Calibri"/>
                <w:color w:val="000000"/>
                <w:sz w:val="20"/>
                <w:szCs w:val="20"/>
              </w:rPr>
              <w:t>209)</w:t>
            </w:r>
          </w:p>
        </w:tc>
        <w:tc>
          <w:tcPr>
            <w:tcW w:w="1158" w:type="dxa"/>
            <w:tcBorders>
              <w:top w:val="nil"/>
              <w:left w:val="nil"/>
              <w:bottom w:val="single" w:sz="8" w:space="0" w:color="A8D08D"/>
              <w:right w:val="single" w:sz="8" w:space="0" w:color="A8D08D"/>
            </w:tcBorders>
            <w:shd w:val="clear" w:color="000000" w:fill="FFFFFF"/>
            <w:vAlign w:val="center"/>
          </w:tcPr>
          <w:p w14:paraId="3ECAF831" w14:textId="2F7FE338"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p>
        </w:tc>
      </w:tr>
      <w:tr w:rsidR="00174A46" w:rsidRPr="00BE5E19" w14:paraId="028B1F4B"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E2EFD9"/>
            <w:vAlign w:val="center"/>
            <w:hideMark/>
          </w:tcPr>
          <w:p w14:paraId="1C81296C" w14:textId="5BC00D27" w:rsidR="00174A46" w:rsidRPr="00BE5E19" w:rsidRDefault="00174A46" w:rsidP="00174A46">
            <w:pPr>
              <w:spacing w:after="120" w:line="240" w:lineRule="auto"/>
              <w:jc w:val="both"/>
              <w:rPr>
                <w:rFonts w:ascii="Aptos" w:eastAsia="Times New Roman" w:hAnsi="Aptos" w:cs="Calibri"/>
                <w:b/>
                <w:bCs/>
                <w:color w:val="000000"/>
                <w:sz w:val="20"/>
                <w:szCs w:val="20"/>
                <w:lang w:val="en-GB"/>
              </w:rPr>
            </w:pPr>
            <w:r w:rsidRPr="0037795B">
              <w:rPr>
                <w:rFonts w:asciiTheme="minorHAnsi" w:eastAsia="Times New Roman" w:hAnsiTheme="minorHAnsi" w:cstheme="minorHAnsi"/>
                <w:b/>
                <w:bCs/>
                <w:color w:val="000000"/>
                <w:sz w:val="20"/>
                <w:szCs w:val="20"/>
              </w:rPr>
              <w:t>Κέρδη προ φόρου εισοδήματος</w:t>
            </w:r>
          </w:p>
        </w:tc>
        <w:tc>
          <w:tcPr>
            <w:tcW w:w="1157" w:type="dxa"/>
            <w:tcBorders>
              <w:top w:val="nil"/>
              <w:left w:val="nil"/>
              <w:bottom w:val="single" w:sz="8" w:space="0" w:color="A8D08D"/>
              <w:right w:val="single" w:sz="8" w:space="0" w:color="A8D08D"/>
            </w:tcBorders>
            <w:shd w:val="clear" w:color="000000" w:fill="E2EFD9"/>
            <w:noWrap/>
            <w:vAlign w:val="center"/>
          </w:tcPr>
          <w:p w14:paraId="221EC2FE" w14:textId="38970095"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177</w:t>
            </w:r>
            <w:r>
              <w:rPr>
                <w:rFonts w:ascii="Aptos" w:hAnsi="Aptos" w:cs="Calibri"/>
                <w:b/>
                <w:bCs/>
                <w:color w:val="000000"/>
                <w:sz w:val="20"/>
                <w:szCs w:val="20"/>
              </w:rPr>
              <w:t>.</w:t>
            </w:r>
            <w:r w:rsidRPr="00BE5E19">
              <w:rPr>
                <w:rFonts w:ascii="Aptos" w:hAnsi="Aptos" w:cs="Calibri"/>
                <w:b/>
                <w:bCs/>
                <w:color w:val="000000"/>
                <w:sz w:val="20"/>
                <w:szCs w:val="20"/>
              </w:rPr>
              <w:t>006</w:t>
            </w:r>
          </w:p>
        </w:tc>
        <w:tc>
          <w:tcPr>
            <w:tcW w:w="1158" w:type="dxa"/>
            <w:tcBorders>
              <w:top w:val="nil"/>
              <w:left w:val="nil"/>
              <w:bottom w:val="single" w:sz="8" w:space="0" w:color="A8D08D"/>
              <w:right w:val="single" w:sz="8" w:space="0" w:color="A8D08D"/>
            </w:tcBorders>
            <w:shd w:val="clear" w:color="000000" w:fill="E2EFD9"/>
            <w:noWrap/>
            <w:vAlign w:val="center"/>
          </w:tcPr>
          <w:p w14:paraId="112B4AF1" w14:textId="7EA5323F" w:rsidR="00174A46" w:rsidRPr="00BE5E19" w:rsidRDefault="00174A46" w:rsidP="00174A46">
            <w:pPr>
              <w:spacing w:after="120" w:line="240" w:lineRule="auto"/>
              <w:jc w:val="right"/>
              <w:rPr>
                <w:rFonts w:ascii="Aptos" w:eastAsia="Times New Roman" w:hAnsi="Aptos" w:cs="Calibri"/>
                <w:b/>
                <w:bCs/>
                <w:color w:val="000000"/>
                <w:sz w:val="20"/>
                <w:szCs w:val="20"/>
                <w:lang w:val="en-GB"/>
              </w:rPr>
            </w:pPr>
            <w:r w:rsidRPr="00BE5E19">
              <w:rPr>
                <w:rFonts w:ascii="Aptos" w:hAnsi="Aptos" w:cs="Calibri"/>
                <w:b/>
                <w:bCs/>
                <w:color w:val="000000"/>
                <w:sz w:val="20"/>
                <w:szCs w:val="20"/>
              </w:rPr>
              <w:t>123</w:t>
            </w:r>
            <w:r>
              <w:rPr>
                <w:rFonts w:ascii="Aptos" w:hAnsi="Aptos" w:cs="Calibri"/>
                <w:b/>
                <w:bCs/>
                <w:color w:val="000000"/>
                <w:sz w:val="20"/>
                <w:szCs w:val="20"/>
              </w:rPr>
              <w:t>.</w:t>
            </w:r>
            <w:r w:rsidRPr="00BE5E19">
              <w:rPr>
                <w:rFonts w:ascii="Aptos" w:hAnsi="Aptos" w:cs="Calibri"/>
                <w:b/>
                <w:bCs/>
                <w:color w:val="000000"/>
                <w:sz w:val="20"/>
                <w:szCs w:val="20"/>
              </w:rPr>
              <w:t>550</w:t>
            </w:r>
          </w:p>
        </w:tc>
        <w:tc>
          <w:tcPr>
            <w:tcW w:w="1158" w:type="dxa"/>
            <w:tcBorders>
              <w:top w:val="nil"/>
              <w:left w:val="nil"/>
              <w:bottom w:val="single" w:sz="8" w:space="0" w:color="A8D08D"/>
              <w:right w:val="single" w:sz="8" w:space="0" w:color="A8D08D"/>
            </w:tcBorders>
            <w:shd w:val="clear" w:color="000000" w:fill="E2EFD9"/>
            <w:vAlign w:val="center"/>
          </w:tcPr>
          <w:p w14:paraId="44E6A9A9" w14:textId="14499A5F" w:rsidR="00174A46" w:rsidRPr="00BE5E19" w:rsidRDefault="00174A46" w:rsidP="00174A46">
            <w:pPr>
              <w:spacing w:after="120" w:line="240" w:lineRule="auto"/>
              <w:jc w:val="right"/>
              <w:rPr>
                <w:rFonts w:ascii="Aptos" w:hAnsi="Aptos" w:cs="Calibri"/>
                <w:b/>
                <w:bCs/>
                <w:color w:val="000000"/>
                <w:sz w:val="20"/>
                <w:szCs w:val="20"/>
                <w:lang w:val="en-GB"/>
              </w:rPr>
            </w:pPr>
            <w:r w:rsidRPr="00BE5E19">
              <w:rPr>
                <w:rFonts w:ascii="Aptos" w:hAnsi="Aptos" w:cs="Calibri"/>
                <w:b/>
                <w:bCs/>
                <w:i/>
                <w:iCs/>
                <w:color w:val="000000"/>
                <w:sz w:val="20"/>
                <w:szCs w:val="20"/>
              </w:rPr>
              <w:t>43%</w:t>
            </w:r>
          </w:p>
        </w:tc>
        <w:tc>
          <w:tcPr>
            <w:tcW w:w="1157" w:type="dxa"/>
            <w:tcBorders>
              <w:top w:val="nil"/>
              <w:left w:val="nil"/>
              <w:bottom w:val="single" w:sz="8" w:space="0" w:color="A8D08D"/>
              <w:right w:val="single" w:sz="8" w:space="0" w:color="A8D08D"/>
            </w:tcBorders>
            <w:shd w:val="clear" w:color="000000" w:fill="E2EFD9"/>
            <w:vAlign w:val="center"/>
          </w:tcPr>
          <w:p w14:paraId="60079561" w14:textId="19E92A4F"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83</w:t>
            </w:r>
            <w:r>
              <w:rPr>
                <w:rFonts w:ascii="Aptos" w:hAnsi="Aptos" w:cs="Calibri"/>
                <w:b/>
                <w:bCs/>
                <w:color w:val="000000"/>
                <w:sz w:val="20"/>
                <w:szCs w:val="20"/>
              </w:rPr>
              <w:t>.</w:t>
            </w:r>
            <w:r w:rsidRPr="00BE5E19">
              <w:rPr>
                <w:rFonts w:ascii="Aptos" w:hAnsi="Aptos" w:cs="Calibri"/>
                <w:b/>
                <w:bCs/>
                <w:color w:val="000000"/>
                <w:sz w:val="20"/>
                <w:szCs w:val="20"/>
              </w:rPr>
              <w:t>628</w:t>
            </w:r>
          </w:p>
        </w:tc>
        <w:tc>
          <w:tcPr>
            <w:tcW w:w="1158" w:type="dxa"/>
            <w:tcBorders>
              <w:top w:val="nil"/>
              <w:left w:val="nil"/>
              <w:bottom w:val="single" w:sz="8" w:space="0" w:color="A8D08D"/>
              <w:right w:val="single" w:sz="8" w:space="0" w:color="A8D08D"/>
            </w:tcBorders>
            <w:shd w:val="clear" w:color="000000" w:fill="E2EFD9"/>
            <w:vAlign w:val="center"/>
          </w:tcPr>
          <w:p w14:paraId="1DFA940A" w14:textId="26F865A2"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color w:val="000000"/>
                <w:sz w:val="20"/>
                <w:szCs w:val="20"/>
              </w:rPr>
              <w:t>69</w:t>
            </w:r>
            <w:r>
              <w:rPr>
                <w:rFonts w:ascii="Aptos" w:hAnsi="Aptos" w:cs="Calibri"/>
                <w:b/>
                <w:bCs/>
                <w:color w:val="000000"/>
                <w:sz w:val="20"/>
                <w:szCs w:val="20"/>
              </w:rPr>
              <w:t>.</w:t>
            </w:r>
            <w:r w:rsidRPr="00BE5E19">
              <w:rPr>
                <w:rFonts w:ascii="Aptos" w:hAnsi="Aptos" w:cs="Calibri"/>
                <w:b/>
                <w:bCs/>
                <w:color w:val="000000"/>
                <w:sz w:val="20"/>
                <w:szCs w:val="20"/>
              </w:rPr>
              <w:t>360</w:t>
            </w:r>
          </w:p>
        </w:tc>
        <w:tc>
          <w:tcPr>
            <w:tcW w:w="1158" w:type="dxa"/>
            <w:tcBorders>
              <w:top w:val="nil"/>
              <w:left w:val="nil"/>
              <w:bottom w:val="single" w:sz="8" w:space="0" w:color="A8D08D"/>
              <w:right w:val="single" w:sz="8" w:space="0" w:color="A8D08D"/>
            </w:tcBorders>
            <w:shd w:val="clear" w:color="000000" w:fill="E2EFD9"/>
            <w:vAlign w:val="center"/>
          </w:tcPr>
          <w:p w14:paraId="310E0964" w14:textId="37903584" w:rsidR="00174A46" w:rsidRPr="00BE5E19" w:rsidRDefault="00174A46" w:rsidP="00174A46">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21%</w:t>
            </w:r>
          </w:p>
        </w:tc>
      </w:tr>
      <w:tr w:rsidR="00174A46" w:rsidRPr="00BE5E19" w14:paraId="1BFDBDA1"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2E3C2B2E" w14:textId="3F088D7E" w:rsidR="00174A46" w:rsidRPr="00174A46" w:rsidRDefault="00174A46" w:rsidP="00174A46">
            <w:pPr>
              <w:spacing w:after="120" w:line="240" w:lineRule="auto"/>
              <w:jc w:val="both"/>
              <w:rPr>
                <w:rFonts w:ascii="Aptos" w:eastAsia="Times New Roman" w:hAnsi="Aptos" w:cs="Calibri"/>
                <w:color w:val="000000"/>
                <w:sz w:val="20"/>
                <w:szCs w:val="20"/>
              </w:rPr>
            </w:pPr>
            <w:r w:rsidRPr="0037795B">
              <w:rPr>
                <w:rFonts w:asciiTheme="minorHAnsi" w:eastAsia="Times New Roman" w:hAnsiTheme="minorHAnsi" w:cstheme="minorHAnsi"/>
                <w:color w:val="000000"/>
                <w:sz w:val="20"/>
                <w:szCs w:val="20"/>
              </w:rPr>
              <w:t>Κέρδη χρήσης μετά από φόρους</w:t>
            </w:r>
          </w:p>
        </w:tc>
        <w:tc>
          <w:tcPr>
            <w:tcW w:w="1157" w:type="dxa"/>
            <w:tcBorders>
              <w:top w:val="nil"/>
              <w:left w:val="nil"/>
              <w:bottom w:val="single" w:sz="8" w:space="0" w:color="A8D08D"/>
              <w:right w:val="single" w:sz="8" w:space="0" w:color="A8D08D"/>
            </w:tcBorders>
            <w:shd w:val="clear" w:color="000000" w:fill="FFFFFF"/>
            <w:noWrap/>
            <w:vAlign w:val="center"/>
          </w:tcPr>
          <w:p w14:paraId="555160A0" w14:textId="190E1694"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137</w:t>
            </w:r>
            <w:r>
              <w:rPr>
                <w:rFonts w:ascii="Aptos" w:hAnsi="Aptos" w:cs="Calibri"/>
                <w:color w:val="000000"/>
                <w:sz w:val="20"/>
                <w:szCs w:val="20"/>
              </w:rPr>
              <w:t>.</w:t>
            </w:r>
            <w:r w:rsidRPr="00BE5E19">
              <w:rPr>
                <w:rFonts w:ascii="Aptos" w:hAnsi="Aptos" w:cs="Calibri"/>
                <w:color w:val="000000"/>
                <w:sz w:val="20"/>
                <w:szCs w:val="20"/>
              </w:rPr>
              <w:t>811</w:t>
            </w:r>
          </w:p>
        </w:tc>
        <w:tc>
          <w:tcPr>
            <w:tcW w:w="1158" w:type="dxa"/>
            <w:tcBorders>
              <w:top w:val="nil"/>
              <w:left w:val="nil"/>
              <w:bottom w:val="single" w:sz="8" w:space="0" w:color="A8D08D"/>
              <w:right w:val="single" w:sz="8" w:space="0" w:color="A8D08D"/>
            </w:tcBorders>
            <w:shd w:val="clear" w:color="000000" w:fill="FFFFFF"/>
            <w:noWrap/>
            <w:vAlign w:val="center"/>
          </w:tcPr>
          <w:p w14:paraId="2DF4AD99" w14:textId="779935C2"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95</w:t>
            </w:r>
            <w:r>
              <w:rPr>
                <w:rFonts w:ascii="Aptos" w:hAnsi="Aptos" w:cs="Calibri"/>
                <w:color w:val="000000"/>
                <w:sz w:val="20"/>
                <w:szCs w:val="20"/>
              </w:rPr>
              <w:t>.</w:t>
            </w:r>
            <w:r w:rsidRPr="00BE5E19">
              <w:rPr>
                <w:rFonts w:ascii="Aptos" w:hAnsi="Aptos" w:cs="Calibri"/>
                <w:color w:val="000000"/>
                <w:sz w:val="20"/>
                <w:szCs w:val="20"/>
              </w:rPr>
              <w:t>256</w:t>
            </w:r>
          </w:p>
        </w:tc>
        <w:tc>
          <w:tcPr>
            <w:tcW w:w="1158" w:type="dxa"/>
            <w:tcBorders>
              <w:top w:val="nil"/>
              <w:left w:val="nil"/>
              <w:bottom w:val="single" w:sz="8" w:space="0" w:color="A8D08D"/>
              <w:right w:val="single" w:sz="8" w:space="0" w:color="A8D08D"/>
            </w:tcBorders>
            <w:shd w:val="clear" w:color="000000" w:fill="FFFFFF"/>
            <w:vAlign w:val="center"/>
          </w:tcPr>
          <w:p w14:paraId="1EB48766" w14:textId="2590CF17" w:rsidR="00174A46" w:rsidRPr="00BE5E19" w:rsidRDefault="00174A46" w:rsidP="00174A46">
            <w:pPr>
              <w:spacing w:after="120" w:line="240" w:lineRule="auto"/>
              <w:jc w:val="right"/>
              <w:rPr>
                <w:rFonts w:ascii="Aptos" w:hAnsi="Aptos" w:cs="Calibri"/>
                <w:color w:val="000000"/>
                <w:sz w:val="20"/>
                <w:szCs w:val="20"/>
                <w:lang w:val="en-GB"/>
              </w:rPr>
            </w:pPr>
            <w:r w:rsidRPr="00BE5E19">
              <w:rPr>
                <w:rFonts w:ascii="Aptos" w:hAnsi="Aptos" w:cs="Calibri"/>
                <w:i/>
                <w:iCs/>
                <w:color w:val="000000"/>
                <w:sz w:val="20"/>
                <w:szCs w:val="20"/>
              </w:rPr>
              <w:t>45%</w:t>
            </w:r>
          </w:p>
        </w:tc>
        <w:tc>
          <w:tcPr>
            <w:tcW w:w="1157" w:type="dxa"/>
            <w:tcBorders>
              <w:top w:val="nil"/>
              <w:left w:val="nil"/>
              <w:bottom w:val="single" w:sz="8" w:space="0" w:color="A8D08D"/>
              <w:right w:val="single" w:sz="8" w:space="0" w:color="A8D08D"/>
            </w:tcBorders>
            <w:shd w:val="clear" w:color="000000" w:fill="FFFFFF"/>
            <w:vAlign w:val="center"/>
          </w:tcPr>
          <w:p w14:paraId="0EBB0C1B" w14:textId="6B3718E1"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63</w:t>
            </w:r>
            <w:r>
              <w:rPr>
                <w:rFonts w:ascii="Aptos" w:hAnsi="Aptos" w:cs="Calibri"/>
                <w:color w:val="000000"/>
                <w:sz w:val="20"/>
                <w:szCs w:val="20"/>
              </w:rPr>
              <w:t>.</w:t>
            </w:r>
            <w:r w:rsidRPr="00BE5E19">
              <w:rPr>
                <w:rFonts w:ascii="Aptos" w:hAnsi="Aptos" w:cs="Calibri"/>
                <w:color w:val="000000"/>
                <w:sz w:val="20"/>
                <w:szCs w:val="20"/>
              </w:rPr>
              <w:t>683</w:t>
            </w:r>
          </w:p>
        </w:tc>
        <w:tc>
          <w:tcPr>
            <w:tcW w:w="1158" w:type="dxa"/>
            <w:tcBorders>
              <w:top w:val="nil"/>
              <w:left w:val="nil"/>
              <w:bottom w:val="single" w:sz="8" w:space="0" w:color="A8D08D"/>
              <w:right w:val="single" w:sz="8" w:space="0" w:color="A8D08D"/>
            </w:tcBorders>
            <w:shd w:val="clear" w:color="000000" w:fill="FFFFFF"/>
            <w:vAlign w:val="center"/>
          </w:tcPr>
          <w:p w14:paraId="38CC1631" w14:textId="4D954C28"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54</w:t>
            </w:r>
            <w:r>
              <w:rPr>
                <w:rFonts w:ascii="Aptos" w:hAnsi="Aptos" w:cs="Calibri"/>
                <w:color w:val="000000"/>
                <w:sz w:val="20"/>
                <w:szCs w:val="20"/>
              </w:rPr>
              <w:t>.</w:t>
            </w:r>
            <w:r w:rsidRPr="00BE5E19">
              <w:rPr>
                <w:rFonts w:ascii="Aptos" w:hAnsi="Aptos" w:cs="Calibri"/>
                <w:color w:val="000000"/>
                <w:sz w:val="20"/>
                <w:szCs w:val="20"/>
              </w:rPr>
              <w:t>228</w:t>
            </w:r>
          </w:p>
        </w:tc>
        <w:tc>
          <w:tcPr>
            <w:tcW w:w="1158" w:type="dxa"/>
            <w:tcBorders>
              <w:top w:val="nil"/>
              <w:left w:val="nil"/>
              <w:bottom w:val="single" w:sz="8" w:space="0" w:color="A8D08D"/>
              <w:right w:val="single" w:sz="8" w:space="0" w:color="A8D08D"/>
            </w:tcBorders>
            <w:shd w:val="clear" w:color="000000" w:fill="FFFFFF"/>
            <w:vAlign w:val="center"/>
          </w:tcPr>
          <w:p w14:paraId="087C19FD" w14:textId="1954FA30"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p>
        </w:tc>
      </w:tr>
      <w:tr w:rsidR="00174A46" w:rsidRPr="00BE5E19" w14:paraId="275B6545"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noWrap/>
            <w:vAlign w:val="center"/>
            <w:hideMark/>
          </w:tcPr>
          <w:p w14:paraId="70607E3C" w14:textId="2AF54B74" w:rsidR="00174A46" w:rsidRPr="00BE5E19" w:rsidRDefault="00174A46" w:rsidP="00174A46">
            <w:pPr>
              <w:spacing w:after="120" w:line="240" w:lineRule="auto"/>
              <w:jc w:val="both"/>
              <w:rPr>
                <w:rFonts w:ascii="Aptos" w:eastAsia="Times New Roman" w:hAnsi="Aptos" w:cs="Calibri"/>
                <w:i/>
                <w:iCs/>
                <w:color w:val="000000"/>
                <w:sz w:val="20"/>
                <w:szCs w:val="20"/>
                <w:lang w:val="en-GB"/>
              </w:rPr>
            </w:pPr>
            <w:r w:rsidRPr="0037795B">
              <w:rPr>
                <w:rFonts w:asciiTheme="minorHAnsi" w:eastAsia="Times New Roman" w:hAnsiTheme="minorHAnsi" w:cstheme="minorHAnsi"/>
                <w:i/>
                <w:iCs/>
                <w:color w:val="000000"/>
                <w:sz w:val="20"/>
                <w:szCs w:val="20"/>
              </w:rPr>
              <w:t>Καθαρό περιθώριο κέρδους (%)</w:t>
            </w:r>
          </w:p>
        </w:tc>
        <w:tc>
          <w:tcPr>
            <w:tcW w:w="1157" w:type="dxa"/>
            <w:tcBorders>
              <w:top w:val="nil"/>
              <w:left w:val="nil"/>
              <w:bottom w:val="single" w:sz="8" w:space="0" w:color="A8D08D"/>
              <w:right w:val="single" w:sz="8" w:space="0" w:color="A8D08D"/>
            </w:tcBorders>
            <w:shd w:val="clear" w:color="000000" w:fill="FFFFFF"/>
            <w:noWrap/>
            <w:vAlign w:val="center"/>
          </w:tcPr>
          <w:p w14:paraId="40D7BF34" w14:textId="23497E9B"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12</w:t>
            </w:r>
            <w:r>
              <w:rPr>
                <w:rFonts w:ascii="Aptos" w:hAnsi="Aptos" w:cs="Calibri"/>
                <w:i/>
                <w:iCs/>
                <w:color w:val="000000"/>
                <w:sz w:val="20"/>
                <w:szCs w:val="20"/>
              </w:rPr>
              <w:t>,</w:t>
            </w:r>
            <w:r w:rsidRPr="00BE5E19">
              <w:rPr>
                <w:rFonts w:ascii="Aptos" w:hAnsi="Aptos" w:cs="Calibri"/>
                <w:i/>
                <w:iCs/>
                <w:color w:val="000000"/>
                <w:sz w:val="20"/>
                <w:szCs w:val="20"/>
              </w:rPr>
              <w:t>0%</w:t>
            </w:r>
          </w:p>
        </w:tc>
        <w:tc>
          <w:tcPr>
            <w:tcW w:w="1158" w:type="dxa"/>
            <w:tcBorders>
              <w:top w:val="nil"/>
              <w:left w:val="nil"/>
              <w:bottom w:val="single" w:sz="8" w:space="0" w:color="A8D08D"/>
              <w:right w:val="single" w:sz="8" w:space="0" w:color="A8D08D"/>
            </w:tcBorders>
            <w:shd w:val="clear" w:color="000000" w:fill="FFFFFF"/>
            <w:noWrap/>
            <w:vAlign w:val="center"/>
          </w:tcPr>
          <w:p w14:paraId="2FCF0E06" w14:textId="464AAEC0" w:rsidR="00174A46" w:rsidRPr="00BE5E19" w:rsidRDefault="00174A46" w:rsidP="00174A46">
            <w:pPr>
              <w:spacing w:after="120" w:line="240" w:lineRule="auto"/>
              <w:jc w:val="right"/>
              <w:rPr>
                <w:rFonts w:ascii="Aptos" w:eastAsia="Times New Roman" w:hAnsi="Aptos" w:cs="Calibri"/>
                <w:i/>
                <w:iCs/>
                <w:color w:val="000000"/>
                <w:sz w:val="20"/>
                <w:szCs w:val="20"/>
                <w:lang w:val="en-GB"/>
              </w:rPr>
            </w:pPr>
            <w:r w:rsidRPr="00BE5E19">
              <w:rPr>
                <w:rFonts w:ascii="Aptos" w:hAnsi="Aptos" w:cs="Calibri"/>
                <w:i/>
                <w:iCs/>
                <w:color w:val="000000"/>
                <w:sz w:val="20"/>
                <w:szCs w:val="20"/>
              </w:rPr>
              <w:t>9</w:t>
            </w:r>
            <w:r>
              <w:rPr>
                <w:rFonts w:ascii="Aptos" w:hAnsi="Aptos" w:cs="Calibri"/>
                <w:i/>
                <w:iCs/>
                <w:color w:val="000000"/>
                <w:sz w:val="20"/>
                <w:szCs w:val="20"/>
              </w:rPr>
              <w:t>,</w:t>
            </w:r>
            <w:r w:rsidRPr="00BE5E19">
              <w:rPr>
                <w:rFonts w:ascii="Aptos" w:hAnsi="Aptos" w:cs="Calibri"/>
                <w:i/>
                <w:iCs/>
                <w:color w:val="000000"/>
                <w:sz w:val="20"/>
                <w:szCs w:val="20"/>
              </w:rPr>
              <w:t>3%</w:t>
            </w:r>
          </w:p>
        </w:tc>
        <w:tc>
          <w:tcPr>
            <w:tcW w:w="1158" w:type="dxa"/>
            <w:tcBorders>
              <w:top w:val="nil"/>
              <w:left w:val="nil"/>
              <w:bottom w:val="single" w:sz="8" w:space="0" w:color="A8D08D"/>
              <w:right w:val="single" w:sz="8" w:space="0" w:color="A8D08D"/>
            </w:tcBorders>
            <w:shd w:val="clear" w:color="000000" w:fill="FFFFFF"/>
            <w:vAlign w:val="center"/>
          </w:tcPr>
          <w:p w14:paraId="3559D7BE" w14:textId="1D737529"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263 </w:t>
            </w:r>
            <w:r>
              <w:rPr>
                <w:rFonts w:ascii="Aptos" w:hAnsi="Aptos" w:cs="Calibri"/>
                <w:i/>
                <w:iCs/>
                <w:color w:val="000000"/>
                <w:sz w:val="20"/>
                <w:szCs w:val="20"/>
              </w:rPr>
              <w:t>μβ</w:t>
            </w:r>
          </w:p>
        </w:tc>
        <w:tc>
          <w:tcPr>
            <w:tcW w:w="1157" w:type="dxa"/>
            <w:tcBorders>
              <w:top w:val="nil"/>
              <w:left w:val="nil"/>
              <w:bottom w:val="single" w:sz="8" w:space="0" w:color="A8D08D"/>
              <w:right w:val="single" w:sz="8" w:space="0" w:color="A8D08D"/>
            </w:tcBorders>
            <w:shd w:val="clear" w:color="000000" w:fill="FFFFFF"/>
            <w:vAlign w:val="center"/>
          </w:tcPr>
          <w:p w14:paraId="52B66C83" w14:textId="2811BE91"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9</w:t>
            </w:r>
            <w:r>
              <w:rPr>
                <w:rFonts w:ascii="Aptos" w:hAnsi="Aptos" w:cs="Calibri"/>
                <w:i/>
                <w:iCs/>
                <w:color w:val="000000"/>
                <w:sz w:val="20"/>
                <w:szCs w:val="20"/>
              </w:rPr>
              <w:t>,</w:t>
            </w:r>
            <w:r w:rsidRPr="00BE5E19">
              <w:rPr>
                <w:rFonts w:ascii="Aptos" w:hAnsi="Aptos" w:cs="Calibri"/>
                <w:i/>
                <w:iCs/>
                <w:color w:val="000000"/>
                <w:sz w:val="20"/>
                <w:szCs w:val="20"/>
              </w:rPr>
              <w:t>9%</w:t>
            </w:r>
          </w:p>
        </w:tc>
        <w:tc>
          <w:tcPr>
            <w:tcW w:w="1158" w:type="dxa"/>
            <w:tcBorders>
              <w:top w:val="nil"/>
              <w:left w:val="nil"/>
              <w:bottom w:val="single" w:sz="8" w:space="0" w:color="A8D08D"/>
              <w:right w:val="single" w:sz="8" w:space="0" w:color="A8D08D"/>
            </w:tcBorders>
            <w:shd w:val="clear" w:color="000000" w:fill="FFFFFF"/>
            <w:vAlign w:val="center"/>
          </w:tcPr>
          <w:p w14:paraId="3B6DCB49" w14:textId="176EAE9F"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10</w:t>
            </w:r>
            <w:r>
              <w:rPr>
                <w:rFonts w:ascii="Aptos" w:hAnsi="Aptos" w:cs="Calibri"/>
                <w:i/>
                <w:iCs/>
                <w:color w:val="000000"/>
                <w:sz w:val="20"/>
                <w:szCs w:val="20"/>
              </w:rPr>
              <w:t>,</w:t>
            </w:r>
            <w:r w:rsidRPr="00BE5E19">
              <w:rPr>
                <w:rFonts w:ascii="Aptos" w:hAnsi="Aptos" w:cs="Calibri"/>
                <w:i/>
                <w:iCs/>
                <w:color w:val="000000"/>
                <w:sz w:val="20"/>
                <w:szCs w:val="20"/>
              </w:rPr>
              <w:t>1%</w:t>
            </w:r>
          </w:p>
        </w:tc>
        <w:tc>
          <w:tcPr>
            <w:tcW w:w="1158" w:type="dxa"/>
            <w:tcBorders>
              <w:top w:val="nil"/>
              <w:left w:val="nil"/>
              <w:bottom w:val="single" w:sz="8" w:space="0" w:color="A8D08D"/>
              <w:right w:val="single" w:sz="8" w:space="0" w:color="A8D08D"/>
            </w:tcBorders>
            <w:shd w:val="clear" w:color="000000" w:fill="FFFFFF"/>
            <w:vAlign w:val="center"/>
          </w:tcPr>
          <w:p w14:paraId="7E1C865C" w14:textId="26AA7B17"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 xml:space="preserve">-24 </w:t>
            </w:r>
            <w:r>
              <w:rPr>
                <w:rFonts w:ascii="Aptos" w:hAnsi="Aptos" w:cs="Calibri"/>
                <w:i/>
                <w:iCs/>
                <w:color w:val="000000"/>
                <w:sz w:val="20"/>
                <w:szCs w:val="20"/>
              </w:rPr>
              <w:t>μβ</w:t>
            </w:r>
          </w:p>
        </w:tc>
      </w:tr>
      <w:tr w:rsidR="00174A46" w:rsidRPr="00BE5E19" w14:paraId="2B960F87" w14:textId="77777777" w:rsidTr="006A1361">
        <w:trPr>
          <w:trHeight w:val="252"/>
        </w:trPr>
        <w:tc>
          <w:tcPr>
            <w:tcW w:w="2967" w:type="dxa"/>
            <w:tcBorders>
              <w:top w:val="nil"/>
              <w:left w:val="single" w:sz="8" w:space="0" w:color="A8D08D"/>
              <w:bottom w:val="single" w:sz="8" w:space="0" w:color="A8D08D"/>
              <w:right w:val="single" w:sz="8" w:space="0" w:color="A8D08D"/>
            </w:tcBorders>
            <w:shd w:val="clear" w:color="000000" w:fill="FFFFFF"/>
            <w:vAlign w:val="center"/>
            <w:hideMark/>
          </w:tcPr>
          <w:p w14:paraId="7848C6A1" w14:textId="357FF38D" w:rsidR="00174A46" w:rsidRPr="00174A46" w:rsidRDefault="00174A46" w:rsidP="00174A46">
            <w:pPr>
              <w:spacing w:after="120" w:line="240" w:lineRule="auto"/>
              <w:rPr>
                <w:rFonts w:ascii="Aptos" w:eastAsia="Times New Roman" w:hAnsi="Aptos" w:cs="Calibri"/>
                <w:color w:val="000000"/>
                <w:sz w:val="20"/>
                <w:szCs w:val="20"/>
              </w:rPr>
            </w:pPr>
            <w:r w:rsidRPr="0037795B">
              <w:rPr>
                <w:rFonts w:asciiTheme="minorHAnsi" w:eastAsia="Times New Roman" w:hAnsiTheme="minorHAnsi" w:cstheme="minorHAnsi"/>
                <w:color w:val="000000"/>
                <w:sz w:val="20"/>
                <w:szCs w:val="20"/>
              </w:rPr>
              <w:t>Κέρδη μετά από φόρους και δικαιώματα μειοψηφίας</w:t>
            </w:r>
          </w:p>
        </w:tc>
        <w:tc>
          <w:tcPr>
            <w:tcW w:w="1157" w:type="dxa"/>
            <w:tcBorders>
              <w:top w:val="nil"/>
              <w:left w:val="nil"/>
              <w:bottom w:val="single" w:sz="8" w:space="0" w:color="A8D08D"/>
              <w:right w:val="single" w:sz="8" w:space="0" w:color="A8D08D"/>
            </w:tcBorders>
            <w:shd w:val="clear" w:color="000000" w:fill="FFFFFF"/>
            <w:noWrap/>
            <w:vAlign w:val="center"/>
          </w:tcPr>
          <w:p w14:paraId="1AF90208" w14:textId="4A66FAE8"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137</w:t>
            </w:r>
            <w:r>
              <w:rPr>
                <w:rFonts w:ascii="Aptos" w:hAnsi="Aptos" w:cs="Calibri"/>
                <w:color w:val="000000"/>
                <w:sz w:val="20"/>
                <w:szCs w:val="20"/>
              </w:rPr>
              <w:t>.</w:t>
            </w:r>
            <w:r w:rsidRPr="00BE5E19">
              <w:rPr>
                <w:rFonts w:ascii="Aptos" w:hAnsi="Aptos" w:cs="Calibri"/>
                <w:color w:val="000000"/>
                <w:sz w:val="20"/>
                <w:szCs w:val="20"/>
              </w:rPr>
              <w:t>810</w:t>
            </w:r>
          </w:p>
        </w:tc>
        <w:tc>
          <w:tcPr>
            <w:tcW w:w="1158" w:type="dxa"/>
            <w:tcBorders>
              <w:top w:val="nil"/>
              <w:left w:val="nil"/>
              <w:bottom w:val="single" w:sz="8" w:space="0" w:color="A8D08D"/>
              <w:right w:val="single" w:sz="8" w:space="0" w:color="A8D08D"/>
            </w:tcBorders>
            <w:shd w:val="clear" w:color="000000" w:fill="FFFFFF"/>
            <w:noWrap/>
            <w:vAlign w:val="center"/>
          </w:tcPr>
          <w:p w14:paraId="5DCFA3FA" w14:textId="49B30D86" w:rsidR="00174A46" w:rsidRPr="00BE5E19" w:rsidRDefault="00174A46" w:rsidP="00174A46">
            <w:pPr>
              <w:spacing w:after="12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95</w:t>
            </w:r>
            <w:r>
              <w:rPr>
                <w:rFonts w:ascii="Aptos" w:hAnsi="Aptos" w:cs="Calibri"/>
                <w:color w:val="000000"/>
                <w:sz w:val="20"/>
                <w:szCs w:val="20"/>
              </w:rPr>
              <w:t>.</w:t>
            </w:r>
            <w:r w:rsidRPr="00BE5E19">
              <w:rPr>
                <w:rFonts w:ascii="Aptos" w:hAnsi="Aptos" w:cs="Calibri"/>
                <w:color w:val="000000"/>
                <w:sz w:val="20"/>
                <w:szCs w:val="20"/>
              </w:rPr>
              <w:t>255</w:t>
            </w:r>
          </w:p>
        </w:tc>
        <w:tc>
          <w:tcPr>
            <w:tcW w:w="1158" w:type="dxa"/>
            <w:tcBorders>
              <w:top w:val="nil"/>
              <w:left w:val="nil"/>
              <w:bottom w:val="single" w:sz="8" w:space="0" w:color="A8D08D"/>
              <w:right w:val="single" w:sz="8" w:space="0" w:color="A8D08D"/>
            </w:tcBorders>
            <w:shd w:val="clear" w:color="000000" w:fill="FFFFFF"/>
            <w:vAlign w:val="center"/>
          </w:tcPr>
          <w:p w14:paraId="01D29B12" w14:textId="303027EF" w:rsidR="00174A46" w:rsidRPr="00BE5E19" w:rsidRDefault="00174A46" w:rsidP="00174A46">
            <w:pPr>
              <w:spacing w:after="120" w:line="240" w:lineRule="auto"/>
              <w:jc w:val="right"/>
              <w:rPr>
                <w:rFonts w:ascii="Aptos" w:hAnsi="Aptos" w:cs="Calibri"/>
                <w:color w:val="000000"/>
                <w:sz w:val="20"/>
                <w:szCs w:val="20"/>
                <w:lang w:val="en-GB"/>
              </w:rPr>
            </w:pPr>
            <w:r w:rsidRPr="00BE5E19">
              <w:rPr>
                <w:rFonts w:ascii="Aptos" w:hAnsi="Aptos" w:cs="Calibri"/>
                <w:i/>
                <w:iCs/>
                <w:color w:val="000000"/>
                <w:sz w:val="20"/>
                <w:szCs w:val="20"/>
              </w:rPr>
              <w:t>45%</w:t>
            </w:r>
          </w:p>
        </w:tc>
        <w:tc>
          <w:tcPr>
            <w:tcW w:w="1157" w:type="dxa"/>
            <w:tcBorders>
              <w:top w:val="nil"/>
              <w:left w:val="nil"/>
              <w:bottom w:val="single" w:sz="8" w:space="0" w:color="A8D08D"/>
              <w:right w:val="single" w:sz="8" w:space="0" w:color="A8D08D"/>
            </w:tcBorders>
            <w:shd w:val="clear" w:color="000000" w:fill="FFFFFF"/>
            <w:vAlign w:val="center"/>
          </w:tcPr>
          <w:p w14:paraId="0793AE93" w14:textId="656D1EB5"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63</w:t>
            </w:r>
            <w:r>
              <w:rPr>
                <w:rFonts w:ascii="Aptos" w:hAnsi="Aptos" w:cs="Calibri"/>
                <w:color w:val="000000"/>
                <w:sz w:val="20"/>
                <w:szCs w:val="20"/>
              </w:rPr>
              <w:t>.</w:t>
            </w:r>
            <w:r w:rsidRPr="00BE5E19">
              <w:rPr>
                <w:rFonts w:ascii="Aptos" w:hAnsi="Aptos" w:cs="Calibri"/>
                <w:color w:val="000000"/>
                <w:sz w:val="20"/>
                <w:szCs w:val="20"/>
              </w:rPr>
              <w:t>683</w:t>
            </w:r>
          </w:p>
        </w:tc>
        <w:tc>
          <w:tcPr>
            <w:tcW w:w="1158" w:type="dxa"/>
            <w:tcBorders>
              <w:top w:val="nil"/>
              <w:left w:val="nil"/>
              <w:bottom w:val="single" w:sz="8" w:space="0" w:color="A8D08D"/>
              <w:right w:val="single" w:sz="8" w:space="0" w:color="A8D08D"/>
            </w:tcBorders>
            <w:shd w:val="clear" w:color="000000" w:fill="FFFFFF"/>
            <w:vAlign w:val="center"/>
          </w:tcPr>
          <w:p w14:paraId="479CF740" w14:textId="5456C116"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color w:val="000000"/>
                <w:sz w:val="20"/>
                <w:szCs w:val="20"/>
              </w:rPr>
              <w:t>54</w:t>
            </w:r>
            <w:r>
              <w:rPr>
                <w:rFonts w:ascii="Aptos" w:hAnsi="Aptos" w:cs="Calibri"/>
                <w:color w:val="000000"/>
                <w:sz w:val="20"/>
                <w:szCs w:val="20"/>
              </w:rPr>
              <w:t>.</w:t>
            </w:r>
            <w:r w:rsidRPr="00BE5E19">
              <w:rPr>
                <w:rFonts w:ascii="Aptos" w:hAnsi="Aptos" w:cs="Calibri"/>
                <w:color w:val="000000"/>
                <w:sz w:val="20"/>
                <w:szCs w:val="20"/>
              </w:rPr>
              <w:t>231</w:t>
            </w:r>
          </w:p>
        </w:tc>
        <w:tc>
          <w:tcPr>
            <w:tcW w:w="1158" w:type="dxa"/>
            <w:tcBorders>
              <w:top w:val="nil"/>
              <w:left w:val="nil"/>
              <w:bottom w:val="single" w:sz="8" w:space="0" w:color="A8D08D"/>
              <w:right w:val="single" w:sz="8" w:space="0" w:color="A8D08D"/>
            </w:tcBorders>
            <w:shd w:val="clear" w:color="000000" w:fill="FFFFFF"/>
            <w:vAlign w:val="center"/>
          </w:tcPr>
          <w:p w14:paraId="6BC62569" w14:textId="7B7FCA54" w:rsidR="00174A46" w:rsidRPr="00BE5E19" w:rsidRDefault="00174A46" w:rsidP="00174A46">
            <w:pPr>
              <w:spacing w:after="120" w:line="240" w:lineRule="auto"/>
              <w:jc w:val="right"/>
              <w:rPr>
                <w:rFonts w:ascii="Aptos" w:hAnsi="Aptos" w:cs="Calibri"/>
                <w:i/>
                <w:iCs/>
                <w:color w:val="000000"/>
                <w:sz w:val="20"/>
                <w:szCs w:val="20"/>
                <w:lang w:val="en-GB"/>
              </w:rPr>
            </w:pPr>
            <w:r w:rsidRPr="00BE5E19">
              <w:rPr>
                <w:rFonts w:ascii="Aptos" w:hAnsi="Aptos" w:cs="Calibri"/>
                <w:i/>
                <w:iCs/>
                <w:color w:val="000000"/>
                <w:sz w:val="20"/>
                <w:szCs w:val="20"/>
              </w:rPr>
              <w:t>17%</w:t>
            </w:r>
          </w:p>
        </w:tc>
      </w:tr>
    </w:tbl>
    <w:p w14:paraId="1B3FCA75" w14:textId="77777777" w:rsidR="00174A46" w:rsidRPr="00954ECE" w:rsidRDefault="00174A46" w:rsidP="00174A46">
      <w:pPr>
        <w:autoSpaceDE w:val="0"/>
        <w:autoSpaceDN w:val="0"/>
        <w:adjustRightInd w:val="0"/>
        <w:spacing w:after="120" w:line="240" w:lineRule="auto"/>
        <w:contextualSpacing/>
        <w:jc w:val="both"/>
        <w:rPr>
          <w:rFonts w:eastAsia="SimSun" w:cs="Calibri"/>
          <w:i/>
          <w:color w:val="000000"/>
          <w:sz w:val="16"/>
          <w:szCs w:val="20"/>
        </w:rPr>
      </w:pPr>
      <w:r w:rsidRPr="00954ECE">
        <w:rPr>
          <w:rFonts w:eastAsia="SimSun" w:cs="Calibri"/>
          <w:i/>
          <w:color w:val="000000"/>
          <w:sz w:val="16"/>
          <w:szCs w:val="20"/>
        </w:rPr>
        <w:t>Πηγή: Ενοποιημένη Κατάσταση Αποτελεσμάτων (Παράρτημα Α) και ΕΜΑ (Παράρτημα Δ)</w:t>
      </w:r>
    </w:p>
    <w:p w14:paraId="0F2A1C25" w14:textId="77777777" w:rsidR="0009734B" w:rsidRPr="00174A46" w:rsidRDefault="0009734B" w:rsidP="006B321F">
      <w:pPr>
        <w:autoSpaceDE w:val="0"/>
        <w:autoSpaceDN w:val="0"/>
        <w:adjustRightInd w:val="0"/>
        <w:spacing w:after="120" w:line="240" w:lineRule="auto"/>
        <w:contextualSpacing/>
        <w:jc w:val="both"/>
        <w:rPr>
          <w:rFonts w:ascii="Aptos" w:eastAsia="SimSun" w:hAnsi="Aptos" w:cs="Calibri"/>
          <w:i/>
          <w:color w:val="000000"/>
          <w:sz w:val="16"/>
          <w:szCs w:val="20"/>
        </w:rPr>
      </w:pPr>
    </w:p>
    <w:tbl>
      <w:tblPr>
        <w:tblW w:w="9918"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972"/>
        <w:gridCol w:w="1157"/>
        <w:gridCol w:w="1158"/>
        <w:gridCol w:w="1158"/>
        <w:gridCol w:w="1157"/>
        <w:gridCol w:w="1158"/>
        <w:gridCol w:w="1158"/>
      </w:tblGrid>
      <w:tr w:rsidR="00174A46" w:rsidRPr="00BE5E19" w14:paraId="082C8B1E" w14:textId="77777777" w:rsidTr="006759DE">
        <w:trPr>
          <w:trHeight w:val="300"/>
        </w:trPr>
        <w:tc>
          <w:tcPr>
            <w:tcW w:w="2972" w:type="dxa"/>
            <w:shd w:val="clear" w:color="auto" w:fill="476C2E"/>
            <w:noWrap/>
            <w:vAlign w:val="bottom"/>
            <w:hideMark/>
          </w:tcPr>
          <w:p w14:paraId="5D865F87" w14:textId="57957A0C" w:rsidR="00174A46" w:rsidRPr="00BE5E19" w:rsidRDefault="00174A46" w:rsidP="00174A46">
            <w:pPr>
              <w:spacing w:after="120" w:line="240" w:lineRule="auto"/>
              <w:rPr>
                <w:rFonts w:ascii="Aptos" w:eastAsia="Times New Roman" w:hAnsi="Aptos" w:cs="Arial"/>
                <w:b/>
                <w:bCs/>
                <w:i/>
                <w:color w:val="FFFFFF" w:themeColor="background1"/>
                <w:sz w:val="20"/>
                <w:szCs w:val="20"/>
                <w:lang w:val="en-GB"/>
              </w:rPr>
            </w:pPr>
            <w:r w:rsidRPr="0037795B">
              <w:rPr>
                <w:rFonts w:eastAsia="Times New Roman" w:cs="Calibri"/>
                <w:b/>
                <w:bCs/>
                <w:i/>
                <w:iCs/>
                <w:color w:val="FFFFFF"/>
                <w:sz w:val="20"/>
                <w:szCs w:val="20"/>
              </w:rPr>
              <w:t>Ποσά σε χιλιάδες ευρώ</w:t>
            </w:r>
          </w:p>
        </w:tc>
        <w:tc>
          <w:tcPr>
            <w:tcW w:w="1157" w:type="dxa"/>
            <w:shd w:val="clear" w:color="auto" w:fill="476C2E"/>
            <w:noWrap/>
            <w:vAlign w:val="center"/>
            <w:hideMark/>
          </w:tcPr>
          <w:p w14:paraId="41DB60CE" w14:textId="77777777" w:rsidR="00174A46" w:rsidRDefault="00174A46" w:rsidP="00EA6C29">
            <w:pPr>
              <w:spacing w:after="0" w:line="240" w:lineRule="auto"/>
              <w:jc w:val="center"/>
              <w:rPr>
                <w:rFonts w:cs="Calibri"/>
                <w:b/>
                <w:bCs/>
                <w:color w:val="FFFFFF"/>
                <w:sz w:val="20"/>
                <w:szCs w:val="20"/>
              </w:rPr>
            </w:pPr>
            <w:r w:rsidRPr="006C0543">
              <w:rPr>
                <w:b/>
                <w:color w:val="FFFFFF"/>
                <w:sz w:val="20"/>
              </w:rPr>
              <w:t>1ο εξ.</w:t>
            </w:r>
          </w:p>
          <w:p w14:paraId="070B9EB4" w14:textId="181D9C80" w:rsidR="00174A46" w:rsidRPr="00BE5E19" w:rsidRDefault="00174A46" w:rsidP="00EA6C29">
            <w:pPr>
              <w:spacing w:after="120" w:line="240" w:lineRule="auto"/>
              <w:jc w:val="center"/>
              <w:rPr>
                <w:rFonts w:ascii="Aptos" w:eastAsia="Times New Roman" w:hAnsi="Aptos" w:cs="Arial"/>
                <w:b/>
                <w:bCs/>
                <w:i/>
                <w:color w:val="FFFFFF" w:themeColor="background1"/>
                <w:sz w:val="20"/>
                <w:szCs w:val="20"/>
                <w:lang w:val="en-GB"/>
              </w:rPr>
            </w:pPr>
            <w:r>
              <w:rPr>
                <w:rFonts w:cs="Calibri"/>
                <w:b/>
                <w:bCs/>
                <w:color w:val="FFFFFF"/>
                <w:sz w:val="20"/>
                <w:szCs w:val="20"/>
              </w:rPr>
              <w:t>2026</w:t>
            </w:r>
          </w:p>
        </w:tc>
        <w:tc>
          <w:tcPr>
            <w:tcW w:w="1158" w:type="dxa"/>
            <w:shd w:val="clear" w:color="auto" w:fill="476C2E"/>
            <w:noWrap/>
            <w:vAlign w:val="center"/>
            <w:hideMark/>
          </w:tcPr>
          <w:p w14:paraId="60E33E21" w14:textId="77777777" w:rsidR="00174A46" w:rsidRDefault="00174A46" w:rsidP="00EA6C29">
            <w:pPr>
              <w:spacing w:after="0" w:line="240" w:lineRule="auto"/>
              <w:jc w:val="center"/>
              <w:rPr>
                <w:rFonts w:cs="Calibri"/>
                <w:b/>
                <w:bCs/>
                <w:color w:val="FFFFFF"/>
                <w:sz w:val="20"/>
                <w:szCs w:val="20"/>
              </w:rPr>
            </w:pPr>
            <w:r w:rsidRPr="006C0543">
              <w:rPr>
                <w:b/>
                <w:color w:val="FFFFFF"/>
                <w:sz w:val="20"/>
              </w:rPr>
              <w:t>1ο εξ.</w:t>
            </w:r>
          </w:p>
          <w:p w14:paraId="63D41F01" w14:textId="08D35953" w:rsidR="00174A46" w:rsidRPr="00BE5E19" w:rsidRDefault="00174A46" w:rsidP="00EA6C29">
            <w:pPr>
              <w:spacing w:after="120" w:line="240" w:lineRule="auto"/>
              <w:jc w:val="center"/>
              <w:rPr>
                <w:rFonts w:ascii="Aptos" w:eastAsia="Times New Roman" w:hAnsi="Aptos" w:cs="Arial"/>
                <w:b/>
                <w:bCs/>
                <w:i/>
                <w:color w:val="FFFFFF" w:themeColor="background1"/>
                <w:sz w:val="20"/>
                <w:szCs w:val="20"/>
                <w:lang w:val="en-GB"/>
              </w:rPr>
            </w:pPr>
            <w:r>
              <w:rPr>
                <w:rFonts w:cs="Calibri"/>
                <w:b/>
                <w:bCs/>
                <w:color w:val="FFFFFF"/>
                <w:sz w:val="20"/>
                <w:szCs w:val="20"/>
              </w:rPr>
              <w:t>2025</w:t>
            </w:r>
          </w:p>
        </w:tc>
        <w:tc>
          <w:tcPr>
            <w:tcW w:w="1158" w:type="dxa"/>
            <w:shd w:val="clear" w:color="auto" w:fill="476C2E"/>
            <w:vAlign w:val="center"/>
          </w:tcPr>
          <w:p w14:paraId="5BB64B5E" w14:textId="0BD6AD66" w:rsidR="00174A46" w:rsidRPr="00BE5E19" w:rsidRDefault="00174A46" w:rsidP="00EA6C29">
            <w:pPr>
              <w:spacing w:after="120" w:line="240" w:lineRule="auto"/>
              <w:jc w:val="center"/>
              <w:rPr>
                <w:rFonts w:ascii="Aptos" w:eastAsia="Times New Roman" w:hAnsi="Aptos" w:cs="Calibri"/>
                <w:b/>
                <w:bCs/>
                <w:color w:val="FFFFFF"/>
                <w:sz w:val="20"/>
                <w:szCs w:val="20"/>
                <w:lang w:val="en-GB"/>
              </w:rPr>
            </w:pPr>
            <w:r>
              <w:rPr>
                <w:rFonts w:cs="Calibri"/>
                <w:b/>
                <w:bCs/>
                <w:color w:val="FFFFFF"/>
                <w:sz w:val="20"/>
                <w:szCs w:val="20"/>
              </w:rPr>
              <w:t>Μεταβολή</w:t>
            </w:r>
            <w:r w:rsidRPr="00C62621">
              <w:rPr>
                <w:rFonts w:cs="Calibri"/>
                <w:b/>
                <w:bCs/>
                <w:color w:val="FFFFFF"/>
                <w:sz w:val="20"/>
                <w:szCs w:val="20"/>
                <w:lang w:val="en-GB"/>
              </w:rPr>
              <w:t xml:space="preserve"> (%)</w:t>
            </w:r>
          </w:p>
        </w:tc>
        <w:tc>
          <w:tcPr>
            <w:tcW w:w="1157" w:type="dxa"/>
            <w:shd w:val="clear" w:color="auto" w:fill="476C2E"/>
            <w:vAlign w:val="center"/>
          </w:tcPr>
          <w:p w14:paraId="761A89AC" w14:textId="77777777" w:rsidR="00174A46" w:rsidRPr="00C62621" w:rsidRDefault="00174A46" w:rsidP="00EA6C29">
            <w:pPr>
              <w:spacing w:after="0" w:line="240" w:lineRule="auto"/>
              <w:jc w:val="center"/>
              <w:rPr>
                <w:rFonts w:cs="Calibri"/>
                <w:b/>
                <w:bCs/>
                <w:color w:val="FFFFFF"/>
                <w:sz w:val="20"/>
                <w:szCs w:val="20"/>
                <w:lang w:val="en-GB"/>
              </w:rPr>
            </w:pPr>
            <w:r>
              <w:rPr>
                <w:b/>
                <w:color w:val="FFFFFF"/>
                <w:sz w:val="20"/>
              </w:rPr>
              <w:t>2</w:t>
            </w:r>
            <w:r w:rsidRPr="006C0543">
              <w:rPr>
                <w:b/>
                <w:color w:val="FFFFFF"/>
                <w:sz w:val="20"/>
              </w:rPr>
              <w:t xml:space="preserve">ο </w:t>
            </w:r>
            <w:r>
              <w:rPr>
                <w:b/>
                <w:color w:val="FFFFFF"/>
                <w:sz w:val="20"/>
              </w:rPr>
              <w:t>τριμ</w:t>
            </w:r>
            <w:r w:rsidRPr="006C0543">
              <w:rPr>
                <w:b/>
                <w:color w:val="FFFFFF"/>
                <w:sz w:val="20"/>
              </w:rPr>
              <w:t>.</w:t>
            </w:r>
          </w:p>
          <w:p w14:paraId="7B764576" w14:textId="732088E9" w:rsidR="00174A46" w:rsidRPr="00BE5E19" w:rsidRDefault="00174A46" w:rsidP="00EA6C29">
            <w:pPr>
              <w:spacing w:after="120" w:line="240" w:lineRule="auto"/>
              <w:jc w:val="center"/>
              <w:rPr>
                <w:rFonts w:ascii="Aptos" w:hAnsi="Aptos" w:cs="Calibri"/>
                <w:b/>
                <w:bCs/>
                <w:color w:val="FFFFFF"/>
                <w:sz w:val="20"/>
                <w:szCs w:val="20"/>
                <w:lang w:val="en-GB"/>
              </w:rPr>
            </w:pPr>
            <w:r w:rsidRPr="00C62621">
              <w:rPr>
                <w:rFonts w:cs="Calibri"/>
                <w:b/>
                <w:bCs/>
                <w:color w:val="FFFFFF"/>
                <w:sz w:val="20"/>
                <w:szCs w:val="20"/>
                <w:lang w:val="en-GB"/>
              </w:rPr>
              <w:t>202</w:t>
            </w:r>
            <w:r>
              <w:rPr>
                <w:rFonts w:cs="Calibri"/>
                <w:b/>
                <w:bCs/>
                <w:color w:val="FFFFFF"/>
                <w:sz w:val="20"/>
                <w:szCs w:val="20"/>
              </w:rPr>
              <w:t>6</w:t>
            </w:r>
          </w:p>
        </w:tc>
        <w:tc>
          <w:tcPr>
            <w:tcW w:w="1158" w:type="dxa"/>
            <w:shd w:val="clear" w:color="auto" w:fill="476C2E"/>
            <w:vAlign w:val="center"/>
          </w:tcPr>
          <w:p w14:paraId="79AB9BEB" w14:textId="77777777" w:rsidR="00174A46" w:rsidRPr="00C62621" w:rsidRDefault="00174A46" w:rsidP="00EA6C29">
            <w:pPr>
              <w:spacing w:after="0" w:line="240" w:lineRule="auto"/>
              <w:jc w:val="center"/>
              <w:rPr>
                <w:rFonts w:cs="Calibri"/>
                <w:b/>
                <w:bCs/>
                <w:color w:val="FFFFFF"/>
                <w:sz w:val="20"/>
                <w:szCs w:val="20"/>
                <w:lang w:val="en-GB"/>
              </w:rPr>
            </w:pPr>
            <w:r>
              <w:rPr>
                <w:b/>
                <w:color w:val="FFFFFF"/>
                <w:sz w:val="20"/>
                <w:lang w:val="en-US"/>
              </w:rPr>
              <w:t>2</w:t>
            </w:r>
            <w:r w:rsidRPr="006C0543">
              <w:rPr>
                <w:b/>
                <w:color w:val="FFFFFF"/>
                <w:sz w:val="20"/>
              </w:rPr>
              <w:t xml:space="preserve">ο </w:t>
            </w:r>
            <w:r>
              <w:rPr>
                <w:b/>
                <w:color w:val="FFFFFF"/>
                <w:sz w:val="20"/>
              </w:rPr>
              <w:t>τριμ</w:t>
            </w:r>
            <w:r w:rsidRPr="006C0543">
              <w:rPr>
                <w:b/>
                <w:color w:val="FFFFFF"/>
                <w:sz w:val="20"/>
              </w:rPr>
              <w:t>.</w:t>
            </w:r>
          </w:p>
          <w:p w14:paraId="0353CACA" w14:textId="47899230" w:rsidR="00174A46" w:rsidRPr="00BE5E19" w:rsidRDefault="00174A46" w:rsidP="00EA6C29">
            <w:pPr>
              <w:spacing w:after="120" w:line="240" w:lineRule="auto"/>
              <w:jc w:val="center"/>
              <w:rPr>
                <w:rFonts w:ascii="Aptos" w:hAnsi="Aptos" w:cs="Calibri"/>
                <w:b/>
                <w:bCs/>
                <w:color w:val="FFFFFF"/>
                <w:sz w:val="20"/>
                <w:szCs w:val="20"/>
                <w:lang w:val="en-GB"/>
              </w:rPr>
            </w:pPr>
            <w:r w:rsidRPr="00C62621">
              <w:rPr>
                <w:rFonts w:cs="Calibri"/>
                <w:b/>
                <w:bCs/>
                <w:color w:val="FFFFFF"/>
                <w:sz w:val="20"/>
                <w:szCs w:val="20"/>
                <w:lang w:val="en-GB"/>
              </w:rPr>
              <w:t>202</w:t>
            </w:r>
            <w:r>
              <w:rPr>
                <w:rFonts w:cs="Calibri"/>
                <w:b/>
                <w:bCs/>
                <w:color w:val="FFFFFF"/>
                <w:sz w:val="20"/>
                <w:szCs w:val="20"/>
              </w:rPr>
              <w:t>5</w:t>
            </w:r>
          </w:p>
        </w:tc>
        <w:tc>
          <w:tcPr>
            <w:tcW w:w="1158" w:type="dxa"/>
            <w:shd w:val="clear" w:color="auto" w:fill="476C2E"/>
            <w:vAlign w:val="center"/>
          </w:tcPr>
          <w:p w14:paraId="409751DE" w14:textId="147E9A17" w:rsidR="00174A46" w:rsidRPr="00BE5E19" w:rsidRDefault="00174A46" w:rsidP="00EA6C29">
            <w:pPr>
              <w:spacing w:after="120" w:line="240" w:lineRule="auto"/>
              <w:jc w:val="center"/>
              <w:rPr>
                <w:rFonts w:ascii="Aptos" w:hAnsi="Aptos" w:cs="Calibri"/>
                <w:b/>
                <w:bCs/>
                <w:color w:val="FFFFFF"/>
                <w:sz w:val="20"/>
                <w:szCs w:val="20"/>
                <w:lang w:val="en-GB"/>
              </w:rPr>
            </w:pPr>
            <w:r>
              <w:rPr>
                <w:rFonts w:cs="Calibri"/>
                <w:b/>
                <w:bCs/>
                <w:color w:val="FFFFFF"/>
                <w:sz w:val="20"/>
                <w:szCs w:val="20"/>
              </w:rPr>
              <w:t>Μεταβολή</w:t>
            </w:r>
            <w:r w:rsidRPr="00C62621">
              <w:rPr>
                <w:rFonts w:cs="Calibri"/>
                <w:b/>
                <w:bCs/>
                <w:color w:val="FFFFFF"/>
                <w:sz w:val="20"/>
                <w:szCs w:val="20"/>
                <w:lang w:val="en-GB"/>
              </w:rPr>
              <w:t xml:space="preserve"> (%)</w:t>
            </w:r>
          </w:p>
        </w:tc>
      </w:tr>
      <w:tr w:rsidR="009A5CF2" w:rsidRPr="00BE5E19" w14:paraId="35FB7095" w14:textId="77777777" w:rsidTr="00063FAC">
        <w:trPr>
          <w:trHeight w:val="300"/>
        </w:trPr>
        <w:tc>
          <w:tcPr>
            <w:tcW w:w="2972" w:type="dxa"/>
          </w:tcPr>
          <w:p w14:paraId="2FE1C3BC" w14:textId="4497B055" w:rsidR="009A5CF2" w:rsidRPr="00BE5E19" w:rsidRDefault="00174A46" w:rsidP="009A5CF2">
            <w:pPr>
              <w:spacing w:after="120" w:line="240" w:lineRule="auto"/>
              <w:jc w:val="both"/>
              <w:rPr>
                <w:rFonts w:ascii="Aptos" w:eastAsia="Times New Roman" w:hAnsi="Aptos" w:cs="Arial"/>
                <w:b/>
                <w:bCs/>
                <w:i/>
                <w:sz w:val="20"/>
                <w:szCs w:val="20"/>
                <w:lang w:val="en-GB"/>
              </w:rPr>
            </w:pPr>
            <w:r w:rsidRPr="00F7127F">
              <w:rPr>
                <w:rFonts w:eastAsia="Times New Roman" w:cs="Arial"/>
                <w:b/>
                <w:bCs/>
                <w:i/>
                <w:sz w:val="20"/>
                <w:szCs w:val="20"/>
              </w:rPr>
              <w:t>Κέρδη ανά μετοχή</w:t>
            </w:r>
          </w:p>
        </w:tc>
        <w:tc>
          <w:tcPr>
            <w:tcW w:w="1157" w:type="dxa"/>
            <w:noWrap/>
            <w:vAlign w:val="center"/>
          </w:tcPr>
          <w:p w14:paraId="031EC1DE" w14:textId="6D013AEB" w:rsidR="009A5CF2" w:rsidRPr="00BE5E19" w:rsidRDefault="009A5CF2" w:rsidP="009A5CF2">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0</w:t>
            </w:r>
            <w:r w:rsidR="00174A46">
              <w:rPr>
                <w:rFonts w:ascii="Aptos" w:hAnsi="Aptos" w:cs="Calibri"/>
                <w:b/>
                <w:bCs/>
                <w:i/>
                <w:iCs/>
                <w:color w:val="000000"/>
                <w:sz w:val="20"/>
                <w:szCs w:val="20"/>
              </w:rPr>
              <w:t>,</w:t>
            </w:r>
            <w:r w:rsidRPr="00BE5E19">
              <w:rPr>
                <w:rFonts w:ascii="Aptos" w:hAnsi="Aptos" w:cs="Calibri"/>
                <w:b/>
                <w:bCs/>
                <w:i/>
                <w:iCs/>
                <w:color w:val="000000"/>
                <w:sz w:val="20"/>
                <w:szCs w:val="20"/>
              </w:rPr>
              <w:t>64923</w:t>
            </w:r>
          </w:p>
        </w:tc>
        <w:tc>
          <w:tcPr>
            <w:tcW w:w="1158" w:type="dxa"/>
            <w:noWrap/>
            <w:vAlign w:val="center"/>
          </w:tcPr>
          <w:p w14:paraId="4E000876" w14:textId="648001D7" w:rsidR="009A5CF2" w:rsidRPr="00BE5E19" w:rsidRDefault="009A5CF2" w:rsidP="009A5CF2">
            <w:pPr>
              <w:spacing w:after="120" w:line="240" w:lineRule="auto"/>
              <w:jc w:val="right"/>
              <w:rPr>
                <w:rFonts w:ascii="Aptos" w:hAnsi="Aptos" w:cs="Calibri"/>
                <w:b/>
                <w:i/>
                <w:sz w:val="20"/>
                <w:szCs w:val="20"/>
                <w:lang w:val="en-GB"/>
              </w:rPr>
            </w:pPr>
            <w:r w:rsidRPr="00BE5E19">
              <w:rPr>
                <w:rFonts w:ascii="Aptos" w:hAnsi="Aptos" w:cs="Calibri"/>
                <w:b/>
                <w:bCs/>
                <w:i/>
                <w:iCs/>
                <w:color w:val="000000"/>
                <w:sz w:val="20"/>
                <w:szCs w:val="20"/>
              </w:rPr>
              <w:t>0</w:t>
            </w:r>
            <w:r w:rsidR="00174A46">
              <w:rPr>
                <w:rFonts w:ascii="Aptos" w:hAnsi="Aptos" w:cs="Calibri"/>
                <w:b/>
                <w:bCs/>
                <w:i/>
                <w:iCs/>
                <w:color w:val="000000"/>
                <w:sz w:val="20"/>
                <w:szCs w:val="20"/>
              </w:rPr>
              <w:t>,</w:t>
            </w:r>
            <w:r w:rsidRPr="00BE5E19">
              <w:rPr>
                <w:rFonts w:ascii="Aptos" w:hAnsi="Aptos" w:cs="Calibri"/>
                <w:b/>
                <w:bCs/>
                <w:i/>
                <w:iCs/>
                <w:color w:val="000000"/>
                <w:sz w:val="20"/>
                <w:szCs w:val="20"/>
              </w:rPr>
              <w:t>44875</w:t>
            </w:r>
          </w:p>
        </w:tc>
        <w:tc>
          <w:tcPr>
            <w:tcW w:w="1158" w:type="dxa"/>
            <w:vAlign w:val="center"/>
          </w:tcPr>
          <w:p w14:paraId="72517427" w14:textId="177E6641" w:rsidR="009A5CF2" w:rsidRPr="00BE5E19" w:rsidRDefault="009A5CF2" w:rsidP="009A5CF2">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45%</w:t>
            </w:r>
          </w:p>
        </w:tc>
        <w:tc>
          <w:tcPr>
            <w:tcW w:w="1157" w:type="dxa"/>
            <w:vAlign w:val="center"/>
          </w:tcPr>
          <w:p w14:paraId="39E1F27B" w14:textId="58087566" w:rsidR="009A5CF2" w:rsidRPr="00BE5E19" w:rsidRDefault="009A5CF2" w:rsidP="009A5CF2">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0</w:t>
            </w:r>
            <w:r w:rsidR="00174A46">
              <w:rPr>
                <w:rFonts w:ascii="Aptos" w:hAnsi="Aptos" w:cs="Calibri"/>
                <w:b/>
                <w:bCs/>
                <w:i/>
                <w:iCs/>
                <w:color w:val="000000"/>
                <w:sz w:val="20"/>
                <w:szCs w:val="20"/>
              </w:rPr>
              <w:t>,</w:t>
            </w:r>
            <w:r w:rsidRPr="00BE5E19">
              <w:rPr>
                <w:rFonts w:ascii="Aptos" w:hAnsi="Aptos" w:cs="Calibri"/>
                <w:b/>
                <w:bCs/>
                <w:i/>
                <w:iCs/>
                <w:color w:val="000000"/>
                <w:sz w:val="20"/>
                <w:szCs w:val="20"/>
              </w:rPr>
              <w:t>30009</w:t>
            </w:r>
          </w:p>
        </w:tc>
        <w:tc>
          <w:tcPr>
            <w:tcW w:w="1158" w:type="dxa"/>
            <w:vAlign w:val="center"/>
          </w:tcPr>
          <w:p w14:paraId="2C202B55" w14:textId="4958BB49" w:rsidR="009A5CF2" w:rsidRPr="00BE5E19" w:rsidRDefault="009A5CF2" w:rsidP="009A5CF2">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0</w:t>
            </w:r>
            <w:r w:rsidR="00174A46">
              <w:rPr>
                <w:rFonts w:ascii="Aptos" w:hAnsi="Aptos" w:cs="Calibri"/>
                <w:b/>
                <w:bCs/>
                <w:i/>
                <w:iCs/>
                <w:color w:val="000000"/>
                <w:sz w:val="20"/>
                <w:szCs w:val="20"/>
              </w:rPr>
              <w:t>,</w:t>
            </w:r>
            <w:r w:rsidRPr="00BE5E19">
              <w:rPr>
                <w:rFonts w:ascii="Aptos" w:hAnsi="Aptos" w:cs="Calibri"/>
                <w:b/>
                <w:bCs/>
                <w:i/>
                <w:iCs/>
                <w:color w:val="000000"/>
                <w:sz w:val="20"/>
                <w:szCs w:val="20"/>
              </w:rPr>
              <w:t>25548</w:t>
            </w:r>
          </w:p>
        </w:tc>
        <w:tc>
          <w:tcPr>
            <w:tcW w:w="1158" w:type="dxa"/>
            <w:vAlign w:val="center"/>
          </w:tcPr>
          <w:p w14:paraId="692B1CC4" w14:textId="7AFC5568" w:rsidR="009A5CF2" w:rsidRPr="00BE5E19" w:rsidRDefault="009A5CF2" w:rsidP="009A5CF2">
            <w:pPr>
              <w:spacing w:after="120" w:line="240" w:lineRule="auto"/>
              <w:jc w:val="right"/>
              <w:rPr>
                <w:rFonts w:ascii="Aptos" w:hAnsi="Aptos" w:cs="Calibri"/>
                <w:b/>
                <w:bCs/>
                <w:i/>
                <w:iCs/>
                <w:color w:val="000000"/>
                <w:sz w:val="20"/>
                <w:szCs w:val="20"/>
                <w:lang w:val="en-GB"/>
              </w:rPr>
            </w:pPr>
            <w:r w:rsidRPr="00BE5E19">
              <w:rPr>
                <w:rFonts w:ascii="Aptos" w:hAnsi="Aptos" w:cs="Calibri"/>
                <w:b/>
                <w:bCs/>
                <w:i/>
                <w:iCs/>
                <w:color w:val="000000"/>
                <w:sz w:val="20"/>
                <w:szCs w:val="20"/>
              </w:rPr>
              <w:t>17%</w:t>
            </w:r>
          </w:p>
        </w:tc>
      </w:tr>
    </w:tbl>
    <w:p w14:paraId="61F153BC" w14:textId="77777777" w:rsidR="001A6073" w:rsidRPr="00DA3B84" w:rsidRDefault="001A6073" w:rsidP="00C80640">
      <w:pPr>
        <w:widowControl w:val="0"/>
        <w:spacing w:after="120" w:line="240" w:lineRule="auto"/>
        <w:jc w:val="both"/>
        <w:rPr>
          <w:rFonts w:ascii="Aptos" w:hAnsi="Aptos"/>
        </w:rPr>
      </w:pPr>
      <w:bookmarkStart w:id="2" w:name="_Hlk111560556"/>
      <w:bookmarkStart w:id="3" w:name="_Hlk34214080"/>
      <w:bookmarkStart w:id="4" w:name="_Hlk160011018"/>
    </w:p>
    <w:p w14:paraId="15204BE1" w14:textId="45000E9E" w:rsidR="00174A46" w:rsidRPr="00DA3B84" w:rsidRDefault="00174A46" w:rsidP="00C80640">
      <w:pPr>
        <w:widowControl w:val="0"/>
        <w:spacing w:after="120" w:line="240" w:lineRule="auto"/>
        <w:jc w:val="both"/>
        <w:rPr>
          <w:rFonts w:ascii="Aptos" w:hAnsi="Aptos"/>
        </w:rPr>
      </w:pPr>
      <w:r w:rsidRPr="00DA3B84">
        <w:rPr>
          <w:rFonts w:ascii="Aptos" w:hAnsi="Aptos"/>
        </w:rPr>
        <w:t xml:space="preserve">Κατά το πρώτο εξάμηνο του 2026, ο Όμιλος κατέγραψε ιδιαίτερα ισχυρές επιδόσεις, με τις ενοποιημένες πωλήσεις να αυξάνονται κατά περίπου 131 εκατ. ευρώ σε ετήσια βάση και να διαμορφώνονται στα 1,15 δισ. ευρώ. </w:t>
      </w:r>
      <w:r w:rsidR="00DA3B84">
        <w:rPr>
          <w:rFonts w:ascii="Aptos" w:hAnsi="Aptos"/>
        </w:rPr>
        <w:t xml:space="preserve"> Ο τομέας καλωδίων συνεισέφερε το μεγαλύτερο μέρος αυτής της αύξησης με</w:t>
      </w:r>
      <w:r w:rsidRPr="00DA3B84">
        <w:rPr>
          <w:rFonts w:ascii="Aptos" w:hAnsi="Aptos"/>
        </w:rPr>
        <w:t xml:space="preserve"> πωλήσεις ενισχ</w:t>
      </w:r>
      <w:r w:rsidR="005A53B4">
        <w:rPr>
          <w:rFonts w:ascii="Aptos" w:hAnsi="Aptos"/>
        </w:rPr>
        <w:t xml:space="preserve">υμένες </w:t>
      </w:r>
      <w:r w:rsidRPr="00DA3B84">
        <w:rPr>
          <w:rFonts w:ascii="Aptos" w:hAnsi="Aptos"/>
        </w:rPr>
        <w:t xml:space="preserve">κατά 99 εκατ. ευρώ (+13%), καθώς η παραγωγική δυναμικότητα που </w:t>
      </w:r>
      <w:r w:rsidR="00267796" w:rsidRPr="00DA3B84">
        <w:rPr>
          <w:rFonts w:ascii="Aptos" w:hAnsi="Aptos"/>
        </w:rPr>
        <w:t>προστέθηκε</w:t>
      </w:r>
      <w:r w:rsidRPr="00DA3B84">
        <w:rPr>
          <w:rFonts w:ascii="Aptos" w:hAnsi="Aptos"/>
        </w:rPr>
        <w:t xml:space="preserve"> κατά την </w:t>
      </w:r>
      <w:r w:rsidRPr="00DA3B84">
        <w:rPr>
          <w:rFonts w:ascii="Aptos" w:hAnsi="Aptos"/>
        </w:rPr>
        <w:lastRenderedPageBreak/>
        <w:t xml:space="preserve">τελευταία τριετία βρίσκεται πλέον σε πλήρη λειτουργία τόσο στα υποβρύχια όσο και στα χερσαία καλώδια. </w:t>
      </w:r>
      <w:r w:rsidR="005A53B4">
        <w:rPr>
          <w:rFonts w:ascii="Aptos" w:hAnsi="Aptos"/>
        </w:rPr>
        <w:t>Από την άλλη</w:t>
      </w:r>
      <w:r w:rsidRPr="00DA3B84">
        <w:rPr>
          <w:rFonts w:ascii="Aptos" w:hAnsi="Aptos"/>
        </w:rPr>
        <w:t>, ο τομέας σωλήνων χάλυβα κατέγραψε επίσης αύξηση πωλήσεων</w:t>
      </w:r>
      <w:r w:rsidR="006C77F2" w:rsidRPr="00DA3B84">
        <w:rPr>
          <w:rFonts w:ascii="Aptos" w:hAnsi="Aptos"/>
        </w:rPr>
        <w:t xml:space="preserve"> κατά 32 εκατ. ευρώ (</w:t>
      </w:r>
      <w:r w:rsidR="006464C8" w:rsidRPr="00DA3B84">
        <w:rPr>
          <w:rFonts w:ascii="Aptos" w:hAnsi="Aptos"/>
        </w:rPr>
        <w:t>+</w:t>
      </w:r>
      <w:r w:rsidR="006C77F2" w:rsidRPr="00DA3B84">
        <w:rPr>
          <w:rFonts w:ascii="Aptos" w:hAnsi="Aptos"/>
        </w:rPr>
        <w:t>11%)</w:t>
      </w:r>
      <w:r w:rsidR="005A53B4">
        <w:rPr>
          <w:rFonts w:ascii="Aptos" w:hAnsi="Aptos"/>
        </w:rPr>
        <w:t xml:space="preserve"> με </w:t>
      </w:r>
      <w:r w:rsidR="007717B7">
        <w:rPr>
          <w:rFonts w:ascii="Aptos" w:hAnsi="Aptos"/>
        </w:rPr>
        <w:t xml:space="preserve">καλή εκτέλεση </w:t>
      </w:r>
      <w:r w:rsidR="00267796" w:rsidRPr="00DA3B84">
        <w:rPr>
          <w:rFonts w:ascii="Aptos" w:hAnsi="Aptos"/>
        </w:rPr>
        <w:t>απαιτητικών ενεργειακών</w:t>
      </w:r>
      <w:r w:rsidRPr="00DA3B84">
        <w:rPr>
          <w:rFonts w:ascii="Aptos" w:hAnsi="Aptos"/>
        </w:rPr>
        <w:t xml:space="preserve"> έργων.</w:t>
      </w:r>
    </w:p>
    <w:p w14:paraId="302B1611" w14:textId="75578DEA" w:rsidR="00174A46" w:rsidRDefault="00174A46" w:rsidP="00895787">
      <w:pPr>
        <w:widowControl w:val="0"/>
        <w:spacing w:after="120" w:line="240" w:lineRule="auto"/>
        <w:jc w:val="both"/>
        <w:outlineLvl w:val="1"/>
        <w:rPr>
          <w:rFonts w:ascii="Aptos" w:hAnsi="Aptos" w:cs="Calibri"/>
          <w:highlight w:val="yellow"/>
        </w:rPr>
      </w:pPr>
      <w:r w:rsidRPr="00174A46">
        <w:rPr>
          <w:rFonts w:ascii="Aptos" w:hAnsi="Aptos" w:cs="Calibri"/>
        </w:rPr>
        <w:t xml:space="preserve">Το αναπροσαρμοσμένο </w:t>
      </w:r>
      <w:r w:rsidRPr="00174A46">
        <w:rPr>
          <w:rFonts w:ascii="Aptos" w:hAnsi="Aptos" w:cs="Calibri"/>
          <w:lang w:val="en-GB"/>
        </w:rPr>
        <w:t>EBITDA</w:t>
      </w:r>
      <w:r w:rsidRPr="00174A46">
        <w:rPr>
          <w:rFonts w:ascii="Aptos" w:hAnsi="Aptos" w:cs="Calibri"/>
        </w:rPr>
        <w:t xml:space="preserve"> ανήλθε σε 216 εκατ. ευρώ, αυξημένο κατά 45 εκατ. ευρώ σε σύγκριση με το πρώτο εξάμηνο του 2025. </w:t>
      </w:r>
      <w:r w:rsidR="007717B7">
        <w:rPr>
          <w:rFonts w:ascii="Aptos" w:hAnsi="Aptos" w:cs="Calibri"/>
        </w:rPr>
        <w:t xml:space="preserve"> </w:t>
      </w:r>
      <w:r w:rsidRPr="00174A46">
        <w:rPr>
          <w:rFonts w:ascii="Aptos" w:hAnsi="Aptos" w:cs="Calibri"/>
        </w:rPr>
        <w:t xml:space="preserve">Και οι δύο τομείς διατήρησαν υψηλά </w:t>
      </w:r>
      <w:r w:rsidR="007717B7">
        <w:rPr>
          <w:rFonts w:ascii="Aptos" w:hAnsi="Aptos" w:cs="Calibri"/>
        </w:rPr>
        <w:t xml:space="preserve">τα </w:t>
      </w:r>
      <w:r w:rsidRPr="00174A46">
        <w:rPr>
          <w:rFonts w:ascii="Aptos" w:hAnsi="Aptos" w:cs="Calibri"/>
        </w:rPr>
        <w:t>επίπεδα κερδοφορίας</w:t>
      </w:r>
      <w:r w:rsidR="007717B7">
        <w:rPr>
          <w:rFonts w:ascii="Aptos" w:hAnsi="Aptos" w:cs="Calibri"/>
        </w:rPr>
        <w:t xml:space="preserve"> τους: </w:t>
      </w:r>
      <w:r w:rsidR="00CE5421">
        <w:rPr>
          <w:rFonts w:ascii="Aptos" w:hAnsi="Aptos" w:cs="Calibri"/>
        </w:rPr>
        <w:t xml:space="preserve">τα μεν καλώδια </w:t>
      </w:r>
      <w:r w:rsidRPr="00174A46">
        <w:rPr>
          <w:rFonts w:ascii="Aptos" w:hAnsi="Aptos" w:cs="Calibri"/>
        </w:rPr>
        <w:t>επωφελήθηκ</w:t>
      </w:r>
      <w:r w:rsidR="00CE5421">
        <w:rPr>
          <w:rFonts w:ascii="Aptos" w:hAnsi="Aptos" w:cs="Calibri"/>
        </w:rPr>
        <w:t>αν</w:t>
      </w:r>
      <w:r w:rsidRPr="00174A46">
        <w:rPr>
          <w:rFonts w:ascii="Aptos" w:hAnsi="Aptos" w:cs="Calibri"/>
        </w:rPr>
        <w:t xml:space="preserve"> από το ευνοϊκό μείγμα έργων της περιόδου, ενώ ο</w:t>
      </w:r>
      <w:r w:rsidR="00CE5421">
        <w:rPr>
          <w:rFonts w:ascii="Aptos" w:hAnsi="Aptos" w:cs="Calibri"/>
        </w:rPr>
        <w:t>ι</w:t>
      </w:r>
      <w:r w:rsidRPr="00174A46">
        <w:rPr>
          <w:rFonts w:ascii="Aptos" w:hAnsi="Aptos" w:cs="Calibri"/>
        </w:rPr>
        <w:t xml:space="preserve"> σωλήν</w:t>
      </w:r>
      <w:r w:rsidR="00CE5421">
        <w:rPr>
          <w:rFonts w:ascii="Aptos" w:hAnsi="Aptos" w:cs="Calibri"/>
        </w:rPr>
        <w:t>ες</w:t>
      </w:r>
      <w:r w:rsidRPr="00174A46">
        <w:rPr>
          <w:rFonts w:ascii="Aptos" w:hAnsi="Aptos" w:cs="Calibri"/>
        </w:rPr>
        <w:t xml:space="preserve"> χάλυβα διατήρησ</w:t>
      </w:r>
      <w:r w:rsidR="00CE5421">
        <w:rPr>
          <w:rFonts w:ascii="Aptos" w:hAnsi="Aptos" w:cs="Calibri"/>
        </w:rPr>
        <w:t>αν</w:t>
      </w:r>
      <w:r w:rsidRPr="00174A46">
        <w:rPr>
          <w:rFonts w:ascii="Aptos" w:hAnsi="Aptos" w:cs="Calibri"/>
        </w:rPr>
        <w:t xml:space="preserve"> </w:t>
      </w:r>
      <w:r w:rsidR="00CA041C">
        <w:rPr>
          <w:rFonts w:ascii="Aptos" w:hAnsi="Aptos" w:cs="Calibri"/>
        </w:rPr>
        <w:t xml:space="preserve">υψηλά </w:t>
      </w:r>
      <w:r w:rsidRPr="00174A46">
        <w:rPr>
          <w:rFonts w:ascii="Aptos" w:hAnsi="Aptos" w:cs="Calibri"/>
        </w:rPr>
        <w:t xml:space="preserve">περιθώρια παρά τις διαφοροποιήσεις στο χρονοδιάγραμμα υλοποίησης </w:t>
      </w:r>
      <w:r w:rsidR="00CE5421">
        <w:rPr>
          <w:rFonts w:ascii="Aptos" w:hAnsi="Aptos" w:cs="Calibri"/>
        </w:rPr>
        <w:t xml:space="preserve">ορισμένων </w:t>
      </w:r>
      <w:r w:rsidRPr="00174A46">
        <w:rPr>
          <w:rFonts w:ascii="Aptos" w:hAnsi="Aptos" w:cs="Calibri"/>
        </w:rPr>
        <w:t xml:space="preserve">έργων. </w:t>
      </w:r>
      <w:r w:rsidR="00CE5421">
        <w:rPr>
          <w:rFonts w:ascii="Aptos" w:hAnsi="Aptos" w:cs="Calibri"/>
        </w:rPr>
        <w:t xml:space="preserve"> </w:t>
      </w:r>
      <w:r w:rsidRPr="00174A46">
        <w:rPr>
          <w:rFonts w:ascii="Aptos" w:hAnsi="Aptos" w:cs="Calibri"/>
        </w:rPr>
        <w:t xml:space="preserve">Ως αποτέλεσμα, το </w:t>
      </w:r>
      <w:r w:rsidR="00CE5421">
        <w:rPr>
          <w:rFonts w:ascii="Aptos" w:hAnsi="Aptos" w:cs="Calibri"/>
        </w:rPr>
        <w:t xml:space="preserve">λειτουργικό </w:t>
      </w:r>
      <w:r w:rsidRPr="00174A46">
        <w:rPr>
          <w:rFonts w:ascii="Aptos" w:hAnsi="Aptos" w:cs="Calibri"/>
        </w:rPr>
        <w:t xml:space="preserve">περιθώριο </w:t>
      </w:r>
      <w:r w:rsidR="00FB7121">
        <w:rPr>
          <w:rFonts w:ascii="Aptos" w:hAnsi="Aptos" w:cs="Calibri"/>
        </w:rPr>
        <w:t xml:space="preserve">του Ομίλου </w:t>
      </w:r>
      <w:r w:rsidRPr="00174A46">
        <w:rPr>
          <w:rFonts w:ascii="Aptos" w:hAnsi="Aptos" w:cs="Calibri"/>
        </w:rPr>
        <w:t>αυξήθηκε στο 18,7%, έναντι 16,7% το πρώτο εξάμηνο του 2025.</w:t>
      </w:r>
      <w:r>
        <w:rPr>
          <w:rFonts w:ascii="Aptos" w:hAnsi="Aptos" w:cs="Calibri"/>
        </w:rPr>
        <w:t xml:space="preserve"> </w:t>
      </w:r>
      <w:r w:rsidR="00FB7121">
        <w:rPr>
          <w:rFonts w:ascii="Aptos" w:hAnsi="Aptos" w:cs="Calibri"/>
        </w:rPr>
        <w:t xml:space="preserve"> Από την άλλη, </w:t>
      </w:r>
      <w:r w:rsidR="00341D5E">
        <w:rPr>
          <w:rFonts w:ascii="Aptos" w:hAnsi="Aptos" w:cs="Calibri"/>
        </w:rPr>
        <w:t>τ</w:t>
      </w:r>
      <w:r w:rsidRPr="00174A46">
        <w:rPr>
          <w:rFonts w:ascii="Aptos" w:hAnsi="Aptos" w:cs="Calibri"/>
        </w:rPr>
        <w:t xml:space="preserve">ο </w:t>
      </w:r>
      <w:r w:rsidR="00341D5E">
        <w:rPr>
          <w:rFonts w:ascii="Aptos" w:hAnsi="Aptos" w:cs="Calibri"/>
        </w:rPr>
        <w:t xml:space="preserve">ιδιαίτερα </w:t>
      </w:r>
      <w:r w:rsidRPr="00174A46">
        <w:rPr>
          <w:rFonts w:ascii="Aptos" w:hAnsi="Aptos" w:cs="Calibri"/>
        </w:rPr>
        <w:t xml:space="preserve">υψηλό περιθώριο του πρώτου τριμήνου, </w:t>
      </w:r>
      <w:r w:rsidR="00341D5E">
        <w:rPr>
          <w:rFonts w:ascii="Aptos" w:hAnsi="Aptos" w:cs="Calibri"/>
        </w:rPr>
        <w:t>που</w:t>
      </w:r>
      <w:r w:rsidRPr="00174A46">
        <w:rPr>
          <w:rFonts w:ascii="Aptos" w:hAnsi="Aptos" w:cs="Calibri"/>
        </w:rPr>
        <w:t xml:space="preserve"> </w:t>
      </w:r>
      <w:r w:rsidR="00267796">
        <w:rPr>
          <w:rFonts w:ascii="Aptos" w:hAnsi="Aptos" w:cs="Calibri"/>
        </w:rPr>
        <w:t>τροφοδοτήθηκε</w:t>
      </w:r>
      <w:r w:rsidRPr="00174A46">
        <w:rPr>
          <w:rFonts w:ascii="Aptos" w:hAnsi="Aptos" w:cs="Calibri"/>
        </w:rPr>
        <w:t xml:space="preserve"> από </w:t>
      </w:r>
      <w:r w:rsidR="00267796">
        <w:rPr>
          <w:rFonts w:ascii="Aptos" w:hAnsi="Aptos" w:cs="Calibri"/>
        </w:rPr>
        <w:t xml:space="preserve">το </w:t>
      </w:r>
      <w:r w:rsidRPr="00174A46">
        <w:rPr>
          <w:rFonts w:ascii="Aptos" w:hAnsi="Aptos" w:cs="Calibri"/>
        </w:rPr>
        <w:t xml:space="preserve">ιδιαίτερα ευνοϊκό μείγμα </w:t>
      </w:r>
      <w:r w:rsidR="00341D5E">
        <w:rPr>
          <w:rFonts w:ascii="Aptos" w:hAnsi="Aptos" w:cs="Calibri"/>
        </w:rPr>
        <w:t xml:space="preserve">όσων </w:t>
      </w:r>
      <w:r w:rsidRPr="00174A46">
        <w:rPr>
          <w:rFonts w:ascii="Aptos" w:hAnsi="Aptos" w:cs="Calibri"/>
        </w:rPr>
        <w:t>έργων</w:t>
      </w:r>
      <w:r w:rsidR="00267796">
        <w:rPr>
          <w:rFonts w:ascii="Aptos" w:hAnsi="Aptos" w:cs="Calibri"/>
        </w:rPr>
        <w:t xml:space="preserve"> εκτελέστηκαν</w:t>
      </w:r>
      <w:r w:rsidRPr="00174A46">
        <w:rPr>
          <w:rFonts w:ascii="Aptos" w:hAnsi="Aptos" w:cs="Calibri"/>
        </w:rPr>
        <w:t xml:space="preserve"> </w:t>
      </w:r>
      <w:r w:rsidR="00341D5E">
        <w:rPr>
          <w:rFonts w:ascii="Aptos" w:hAnsi="Aptos" w:cs="Calibri"/>
        </w:rPr>
        <w:t>τότε</w:t>
      </w:r>
      <w:r w:rsidRPr="00174A46">
        <w:rPr>
          <w:rFonts w:ascii="Aptos" w:hAnsi="Aptos" w:cs="Calibri"/>
        </w:rPr>
        <w:t xml:space="preserve">, εξομαλύνθηκε όπως αναμενόταν κατά το δεύτερο τρίμηνο. </w:t>
      </w:r>
      <w:r w:rsidR="00AE41DB">
        <w:rPr>
          <w:rFonts w:ascii="Aptos" w:hAnsi="Aptos" w:cs="Calibri"/>
        </w:rPr>
        <w:t xml:space="preserve"> Αξίζει να σημειωθεί πως </w:t>
      </w:r>
      <w:r w:rsidR="003A5442">
        <w:rPr>
          <w:rFonts w:ascii="Aptos" w:hAnsi="Aptos" w:cs="Calibri"/>
        </w:rPr>
        <w:t>τέτοιες</w:t>
      </w:r>
      <w:r w:rsidRPr="00174A46">
        <w:rPr>
          <w:rFonts w:ascii="Aptos" w:hAnsi="Aptos" w:cs="Calibri"/>
        </w:rPr>
        <w:t xml:space="preserve"> διακυμάνσεις </w:t>
      </w:r>
      <w:r w:rsidR="00AE41DB">
        <w:rPr>
          <w:rFonts w:ascii="Aptos" w:hAnsi="Aptos" w:cs="Calibri"/>
        </w:rPr>
        <w:t xml:space="preserve">είναι </w:t>
      </w:r>
      <w:r w:rsidRPr="00174A46">
        <w:rPr>
          <w:rFonts w:ascii="Aptos" w:hAnsi="Aptos" w:cs="Calibri"/>
        </w:rPr>
        <w:t>συν</w:t>
      </w:r>
      <w:r w:rsidR="00D765F7">
        <w:rPr>
          <w:rFonts w:ascii="Aptos" w:hAnsi="Aptos" w:cs="Calibri"/>
        </w:rPr>
        <w:t xml:space="preserve">ήθεις </w:t>
      </w:r>
      <w:r w:rsidR="00567160">
        <w:rPr>
          <w:rFonts w:ascii="Aptos" w:hAnsi="Aptos" w:cs="Calibri"/>
        </w:rPr>
        <w:t xml:space="preserve">καθώς αλλάζουν ο χρονισμός και η </w:t>
      </w:r>
      <w:r w:rsidRPr="00174A46">
        <w:rPr>
          <w:rFonts w:ascii="Aptos" w:hAnsi="Aptos" w:cs="Calibri"/>
        </w:rPr>
        <w:t xml:space="preserve">σύνθεση των έργων που εκτελούνται, με τον Όμιλο </w:t>
      </w:r>
      <w:r w:rsidR="00CE6822">
        <w:rPr>
          <w:rFonts w:ascii="Aptos" w:hAnsi="Aptos" w:cs="Calibri"/>
        </w:rPr>
        <w:t xml:space="preserve">όμως </w:t>
      </w:r>
      <w:r w:rsidRPr="00174A46">
        <w:rPr>
          <w:rFonts w:ascii="Aptos" w:hAnsi="Aptos" w:cs="Calibri"/>
        </w:rPr>
        <w:t xml:space="preserve">να παραμένει προσηλωμένος </w:t>
      </w:r>
      <w:r w:rsidR="00CE6822" w:rsidRPr="00174A46">
        <w:rPr>
          <w:rFonts w:ascii="Aptos" w:hAnsi="Aptos" w:cs="Calibri"/>
        </w:rPr>
        <w:t xml:space="preserve">στην ανάληψη </w:t>
      </w:r>
      <w:r w:rsidR="00CE6822">
        <w:rPr>
          <w:rFonts w:ascii="Aptos" w:hAnsi="Aptos" w:cs="Calibri"/>
        </w:rPr>
        <w:t>έργων</w:t>
      </w:r>
      <w:r w:rsidR="00CE6822" w:rsidRPr="00174A46">
        <w:rPr>
          <w:rFonts w:ascii="Aptos" w:hAnsi="Aptos" w:cs="Calibri"/>
        </w:rPr>
        <w:t xml:space="preserve"> υψηλ</w:t>
      </w:r>
      <w:r w:rsidR="00CE6822">
        <w:rPr>
          <w:rFonts w:ascii="Aptos" w:hAnsi="Aptos" w:cs="Calibri"/>
        </w:rPr>
        <w:t xml:space="preserve">ότερης </w:t>
      </w:r>
      <w:r w:rsidR="00CE6822" w:rsidRPr="00174A46">
        <w:rPr>
          <w:rFonts w:ascii="Aptos" w:hAnsi="Aptos" w:cs="Calibri"/>
        </w:rPr>
        <w:t xml:space="preserve">προστιθέμενης αξίας </w:t>
      </w:r>
      <w:r w:rsidR="00CE6822">
        <w:rPr>
          <w:rFonts w:ascii="Aptos" w:hAnsi="Aptos" w:cs="Calibri"/>
        </w:rPr>
        <w:t xml:space="preserve">και </w:t>
      </w:r>
      <w:r w:rsidRPr="00174A46">
        <w:rPr>
          <w:rFonts w:ascii="Aptos" w:hAnsi="Aptos" w:cs="Calibri"/>
        </w:rPr>
        <w:t xml:space="preserve">στην </w:t>
      </w:r>
      <w:r w:rsidR="00CE6822">
        <w:rPr>
          <w:rFonts w:ascii="Aptos" w:hAnsi="Aptos" w:cs="Calibri"/>
        </w:rPr>
        <w:t xml:space="preserve">επιτυχή </w:t>
      </w:r>
      <w:r w:rsidRPr="00174A46">
        <w:rPr>
          <w:rFonts w:ascii="Aptos" w:hAnsi="Aptos" w:cs="Calibri"/>
        </w:rPr>
        <w:t>εκτέλεσ</w:t>
      </w:r>
      <w:r w:rsidR="00CE6822">
        <w:rPr>
          <w:rFonts w:ascii="Aptos" w:hAnsi="Aptos" w:cs="Calibri"/>
        </w:rPr>
        <w:t>ή τους</w:t>
      </w:r>
      <w:r w:rsidRPr="00174A46">
        <w:rPr>
          <w:rFonts w:ascii="Aptos" w:hAnsi="Aptos" w:cs="Calibri"/>
        </w:rPr>
        <w:t>.</w:t>
      </w:r>
    </w:p>
    <w:p w14:paraId="23D62FD0" w14:textId="3A2A1DB5" w:rsidR="00174A46" w:rsidRDefault="00174A46" w:rsidP="00895787">
      <w:pPr>
        <w:widowControl w:val="0"/>
        <w:spacing w:after="120" w:line="240" w:lineRule="auto"/>
        <w:jc w:val="both"/>
        <w:outlineLvl w:val="1"/>
        <w:rPr>
          <w:rFonts w:ascii="Aptos" w:hAnsi="Aptos" w:cs="Calibri"/>
        </w:rPr>
      </w:pPr>
      <w:r w:rsidRPr="00267796">
        <w:rPr>
          <w:rFonts w:ascii="Aptos" w:hAnsi="Aptos" w:cs="Calibri"/>
        </w:rPr>
        <w:t>Το καθαρό χρηματοοικονομικό κόστος μειώθηκε κατά 25% και ανήλθε σε 21,9 εκατ. ευρώ, έναντι 29,3 εκατ. ευρώ κατά το πρώτο εξάμηνο του 2025</w:t>
      </w:r>
      <w:r w:rsidR="00D1601D">
        <w:rPr>
          <w:rFonts w:ascii="Aptos" w:hAnsi="Aptos" w:cs="Calibri"/>
        </w:rPr>
        <w:t xml:space="preserve"> λόγω ευνοϊκών </w:t>
      </w:r>
      <w:r w:rsidR="006C77F2">
        <w:rPr>
          <w:rFonts w:ascii="Aptos" w:hAnsi="Aptos" w:cs="Calibri"/>
        </w:rPr>
        <w:t>συναλλαγματικ</w:t>
      </w:r>
      <w:r w:rsidR="00D1601D">
        <w:rPr>
          <w:rFonts w:ascii="Aptos" w:hAnsi="Aptos" w:cs="Calibri"/>
        </w:rPr>
        <w:t xml:space="preserve">ών </w:t>
      </w:r>
      <w:r w:rsidR="006464C8">
        <w:rPr>
          <w:rFonts w:ascii="Aptos" w:hAnsi="Aptos" w:cs="Calibri"/>
        </w:rPr>
        <w:t>διαφορ</w:t>
      </w:r>
      <w:r w:rsidR="00D1601D">
        <w:rPr>
          <w:rFonts w:ascii="Aptos" w:hAnsi="Aptos" w:cs="Calibri"/>
        </w:rPr>
        <w:t>ών σ</w:t>
      </w:r>
      <w:r w:rsidR="006464C8">
        <w:rPr>
          <w:rFonts w:ascii="Aptos" w:hAnsi="Aptos" w:cs="Calibri"/>
        </w:rPr>
        <w:t xml:space="preserve">το </w:t>
      </w:r>
      <w:r w:rsidR="006C77F2">
        <w:rPr>
          <w:rFonts w:ascii="Aptos" w:hAnsi="Aptos" w:cs="Calibri"/>
        </w:rPr>
        <w:t>δολάριο ΗΠΑ σε σύγκριση με την αντίστοιχη περσινή περίοδο</w:t>
      </w:r>
      <w:r w:rsidRPr="00267796">
        <w:rPr>
          <w:rFonts w:ascii="Aptos" w:hAnsi="Aptos" w:cs="Calibri"/>
        </w:rPr>
        <w:t xml:space="preserve">, </w:t>
      </w:r>
      <w:r w:rsidR="006C77F2">
        <w:rPr>
          <w:rFonts w:ascii="Aptos" w:hAnsi="Aptos" w:cs="Calibri"/>
        </w:rPr>
        <w:t>καθώς</w:t>
      </w:r>
      <w:r w:rsidRPr="00267796">
        <w:rPr>
          <w:rFonts w:ascii="Aptos" w:hAnsi="Aptos" w:cs="Calibri"/>
        </w:rPr>
        <w:t xml:space="preserve"> οι τόκοι και τα συναφή χρηματοοικονομικά έξοδα παρέμειναν ουσιαστικά αμετάβλητα.</w:t>
      </w:r>
    </w:p>
    <w:p w14:paraId="5F34D536" w14:textId="7CC2794C" w:rsidR="000B6B96" w:rsidRPr="00C80640" w:rsidRDefault="00174A46" w:rsidP="00895787">
      <w:pPr>
        <w:widowControl w:val="0"/>
        <w:spacing w:after="120" w:line="240" w:lineRule="auto"/>
        <w:jc w:val="both"/>
        <w:rPr>
          <w:rFonts w:ascii="Aptos" w:hAnsi="Aptos"/>
        </w:rPr>
      </w:pPr>
      <w:r w:rsidRPr="00174A46">
        <w:rPr>
          <w:rFonts w:ascii="Aptos" w:hAnsi="Aptos" w:cs="Calibri"/>
        </w:rPr>
        <w:t xml:space="preserve">Ως αποτέλεσμα της βελτιωμένης λειτουργικής επίδοσης και της μείωσης του </w:t>
      </w:r>
      <w:r w:rsidR="00E23E10">
        <w:rPr>
          <w:rFonts w:ascii="Aptos" w:hAnsi="Aptos" w:cs="Calibri"/>
        </w:rPr>
        <w:t xml:space="preserve">καθαρού </w:t>
      </w:r>
      <w:r w:rsidRPr="00174A46">
        <w:rPr>
          <w:rFonts w:ascii="Aptos" w:hAnsi="Aptos" w:cs="Calibri"/>
        </w:rPr>
        <w:t xml:space="preserve">χρηματοοικονομικού κόστους, τα κέρδη προ φόρων αυξήθηκαν κατά 43% και ανήλθαν σε 177 εκατ. ευρώ, έναντι 124 εκατ. ευρώ το πρώτο εξάμηνο του 2025. </w:t>
      </w:r>
      <w:r w:rsidR="00D1601D">
        <w:rPr>
          <w:rFonts w:ascii="Aptos" w:hAnsi="Aptos" w:cs="Calibri"/>
        </w:rPr>
        <w:t xml:space="preserve"> </w:t>
      </w:r>
      <w:r w:rsidRPr="00174A46">
        <w:rPr>
          <w:rFonts w:ascii="Aptos" w:hAnsi="Aptos" w:cs="Calibri"/>
        </w:rPr>
        <w:t xml:space="preserve">Τα καθαρά κέρδη μετά από φόρους </w:t>
      </w:r>
      <w:r w:rsidR="00E23E10">
        <w:rPr>
          <w:rFonts w:ascii="Aptos" w:hAnsi="Aptos" w:cs="Calibri"/>
        </w:rPr>
        <w:t>ακολούθησαν την ίδια πορεία ανερχόμενα</w:t>
      </w:r>
      <w:r w:rsidRPr="00174A46">
        <w:rPr>
          <w:rFonts w:ascii="Aptos" w:hAnsi="Aptos" w:cs="Calibri"/>
        </w:rPr>
        <w:t xml:space="preserve"> σε 138 εκατ. ευρώ, έναντι 95 εκατ. ευρώ την αντίστοιχη περσινή περίοδο, αντιπροσωπεύοντας το 12,0% των πωλήσεων, έναντι 9,3% το πρώτο εξάμηνο του 2025.</w:t>
      </w:r>
    </w:p>
    <w:p w14:paraId="2CF79F67" w14:textId="77777777" w:rsidR="00E23E10" w:rsidRDefault="00E23E10">
      <w:pPr>
        <w:spacing w:after="0" w:line="240" w:lineRule="auto"/>
        <w:rPr>
          <w:rFonts w:ascii="Aptos" w:hAnsi="Aptos"/>
          <w:b/>
          <w:bCs/>
          <w:color w:val="44546A" w:themeColor="text2"/>
        </w:rPr>
      </w:pPr>
      <w:r>
        <w:rPr>
          <w:rFonts w:ascii="Aptos" w:hAnsi="Aptos"/>
          <w:b/>
          <w:bCs/>
          <w:i/>
          <w:iCs/>
        </w:rPr>
        <w:br w:type="page"/>
      </w:r>
    </w:p>
    <w:p w14:paraId="3ECBC37D" w14:textId="52FF7350" w:rsidR="00131985" w:rsidRPr="00174A46" w:rsidRDefault="00174A46" w:rsidP="000B6B96">
      <w:pPr>
        <w:pStyle w:val="Caption"/>
        <w:keepNext/>
        <w:rPr>
          <w:rFonts w:ascii="Aptos" w:hAnsi="Aptos"/>
          <w:b/>
          <w:bCs/>
          <w:i w:val="0"/>
          <w:iCs w:val="0"/>
          <w:sz w:val="22"/>
          <w:szCs w:val="22"/>
        </w:rPr>
      </w:pPr>
      <w:r w:rsidRPr="00174A46">
        <w:rPr>
          <w:rFonts w:ascii="Aptos" w:hAnsi="Aptos"/>
          <w:b/>
          <w:bCs/>
          <w:i w:val="0"/>
          <w:iCs w:val="0"/>
          <w:sz w:val="22"/>
          <w:szCs w:val="22"/>
        </w:rPr>
        <w:lastRenderedPageBreak/>
        <w:t>Ενοποιημένη Κατάσταση Οικονομικής Θέσης (Απλουστευμένη)</w:t>
      </w:r>
    </w:p>
    <w:tbl>
      <w:tblPr>
        <w:tblW w:w="9990" w:type="dxa"/>
        <w:tblLook w:val="04A0" w:firstRow="1" w:lastRow="0" w:firstColumn="1" w:lastColumn="0" w:noHBand="0" w:noVBand="1"/>
      </w:tblPr>
      <w:tblGrid>
        <w:gridCol w:w="6030"/>
        <w:gridCol w:w="270"/>
        <w:gridCol w:w="1800"/>
        <w:gridCol w:w="270"/>
        <w:gridCol w:w="1620"/>
      </w:tblGrid>
      <w:tr w:rsidR="00DF524F" w:rsidRPr="00BE5E19" w14:paraId="51A1D4F2" w14:textId="77777777" w:rsidTr="00DF524F">
        <w:trPr>
          <w:trHeight w:val="270"/>
          <w:tblHeader/>
        </w:trPr>
        <w:tc>
          <w:tcPr>
            <w:tcW w:w="6030" w:type="dxa"/>
            <w:tcBorders>
              <w:top w:val="nil"/>
              <w:left w:val="nil"/>
              <w:bottom w:val="single" w:sz="8" w:space="0" w:color="4F6228"/>
              <w:right w:val="nil"/>
            </w:tcBorders>
            <w:noWrap/>
            <w:vAlign w:val="bottom"/>
            <w:hideMark/>
          </w:tcPr>
          <w:p w14:paraId="2A176D4D" w14:textId="2B58753A" w:rsidR="00DF524F" w:rsidRPr="00BE5E19" w:rsidRDefault="00DF524F" w:rsidP="00DF524F">
            <w:pPr>
              <w:spacing w:after="0" w:line="240" w:lineRule="auto"/>
              <w:rPr>
                <w:rFonts w:ascii="Aptos" w:eastAsia="Times New Roman" w:hAnsi="Aptos" w:cs="Calibri"/>
                <w:i/>
                <w:iCs/>
                <w:color w:val="000000"/>
                <w:sz w:val="20"/>
                <w:szCs w:val="20"/>
                <w:lang w:val="en-GB"/>
              </w:rPr>
            </w:pPr>
            <w:r w:rsidRPr="00A13AED">
              <w:rPr>
                <w:rFonts w:eastAsia="Times New Roman" w:cs="Calibri"/>
                <w:i/>
                <w:iCs/>
                <w:color w:val="000000"/>
                <w:sz w:val="20"/>
                <w:szCs w:val="20"/>
              </w:rPr>
              <w:t>Ποσά σε χιλιάδες ευρώ</w:t>
            </w:r>
          </w:p>
        </w:tc>
        <w:tc>
          <w:tcPr>
            <w:tcW w:w="270" w:type="dxa"/>
            <w:tcBorders>
              <w:top w:val="nil"/>
              <w:left w:val="nil"/>
              <w:bottom w:val="nil"/>
              <w:right w:val="nil"/>
            </w:tcBorders>
            <w:shd w:val="clear" w:color="000000" w:fill="FFFFFF"/>
            <w:noWrap/>
            <w:vAlign w:val="bottom"/>
          </w:tcPr>
          <w:p w14:paraId="5FC8E31C"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hideMark/>
          </w:tcPr>
          <w:p w14:paraId="38BD9598" w14:textId="03492FC5" w:rsidR="00DF524F" w:rsidRPr="00DF524F" w:rsidRDefault="00DF524F" w:rsidP="00DF524F">
            <w:pPr>
              <w:spacing w:after="0" w:line="240" w:lineRule="auto"/>
              <w:jc w:val="right"/>
              <w:rPr>
                <w:rFonts w:ascii="Aptos" w:eastAsia="Times New Roman" w:hAnsi="Aptos" w:cs="Calibri"/>
                <w:b/>
                <w:bCs/>
                <w:color w:val="000000"/>
                <w:sz w:val="20"/>
                <w:szCs w:val="20"/>
              </w:rPr>
            </w:pPr>
            <w:r w:rsidRPr="008414D9">
              <w:rPr>
                <w:rFonts w:eastAsia="Times New Roman" w:cs="Calibri"/>
                <w:b/>
                <w:bCs/>
                <w:color w:val="000000"/>
                <w:sz w:val="20"/>
                <w:szCs w:val="20"/>
                <w:lang w:val="en-GB"/>
              </w:rPr>
              <w:t>3</w:t>
            </w:r>
            <w:r>
              <w:rPr>
                <w:rFonts w:eastAsia="Times New Roman" w:cs="Calibri"/>
                <w:b/>
                <w:bCs/>
                <w:color w:val="000000"/>
                <w:sz w:val="20"/>
                <w:szCs w:val="20"/>
                <w:lang w:val="en-GB"/>
              </w:rPr>
              <w:t>0</w:t>
            </w:r>
            <w:r w:rsidRPr="008414D9">
              <w:rPr>
                <w:rFonts w:eastAsia="Times New Roman" w:cs="Calibri"/>
                <w:b/>
                <w:bCs/>
                <w:color w:val="000000"/>
                <w:sz w:val="20"/>
                <w:szCs w:val="20"/>
                <w:lang w:val="en-GB"/>
              </w:rPr>
              <w:t xml:space="preserve"> </w:t>
            </w:r>
            <w:r>
              <w:rPr>
                <w:rFonts w:eastAsia="Times New Roman" w:cs="Calibri"/>
                <w:b/>
                <w:bCs/>
                <w:color w:val="000000"/>
                <w:sz w:val="20"/>
                <w:szCs w:val="20"/>
              </w:rPr>
              <w:t>Ιουνίου</w:t>
            </w:r>
            <w:r w:rsidRPr="008414D9">
              <w:rPr>
                <w:rFonts w:eastAsia="Times New Roman" w:cs="Calibri"/>
                <w:b/>
                <w:bCs/>
                <w:color w:val="000000"/>
                <w:sz w:val="20"/>
                <w:szCs w:val="20"/>
                <w:lang w:val="en-GB"/>
              </w:rPr>
              <w:t xml:space="preserve"> 202</w:t>
            </w:r>
            <w:r>
              <w:rPr>
                <w:rFonts w:eastAsia="Times New Roman" w:cs="Calibri"/>
                <w:b/>
                <w:bCs/>
                <w:color w:val="000000"/>
                <w:sz w:val="20"/>
                <w:szCs w:val="20"/>
              </w:rPr>
              <w:t>6</w:t>
            </w:r>
          </w:p>
        </w:tc>
        <w:tc>
          <w:tcPr>
            <w:tcW w:w="270" w:type="dxa"/>
            <w:tcBorders>
              <w:top w:val="nil"/>
              <w:left w:val="nil"/>
              <w:bottom w:val="nil"/>
              <w:right w:val="nil"/>
            </w:tcBorders>
            <w:noWrap/>
            <w:vAlign w:val="bottom"/>
            <w:hideMark/>
          </w:tcPr>
          <w:p w14:paraId="5C20BBB0" w14:textId="77777777" w:rsidR="00DF524F" w:rsidRPr="00BE5E19"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6ECD361C" w14:textId="2D665321" w:rsidR="00DF524F" w:rsidRPr="00DF524F" w:rsidRDefault="00DF524F" w:rsidP="00DF524F">
            <w:pPr>
              <w:spacing w:after="0" w:line="240" w:lineRule="auto"/>
              <w:jc w:val="right"/>
              <w:rPr>
                <w:rFonts w:ascii="Aptos" w:eastAsia="Times New Roman" w:hAnsi="Aptos" w:cs="Calibri"/>
                <w:b/>
                <w:bCs/>
                <w:color w:val="000000"/>
                <w:sz w:val="20"/>
                <w:szCs w:val="20"/>
              </w:rPr>
            </w:pPr>
            <w:r w:rsidRPr="008414D9">
              <w:rPr>
                <w:rFonts w:eastAsia="Times New Roman" w:cs="Calibri"/>
                <w:b/>
                <w:bCs/>
                <w:color w:val="000000"/>
                <w:sz w:val="20"/>
                <w:szCs w:val="20"/>
                <w:lang w:val="en-GB"/>
              </w:rPr>
              <w:t xml:space="preserve">31 </w:t>
            </w:r>
            <w:r>
              <w:rPr>
                <w:rFonts w:eastAsia="Times New Roman" w:cs="Calibri"/>
                <w:b/>
                <w:bCs/>
                <w:color w:val="000000"/>
                <w:sz w:val="20"/>
                <w:szCs w:val="20"/>
              </w:rPr>
              <w:t xml:space="preserve">Δεκεμβρίου </w:t>
            </w:r>
            <w:r w:rsidRPr="008414D9">
              <w:rPr>
                <w:rFonts w:eastAsia="Times New Roman" w:cs="Calibri"/>
                <w:b/>
                <w:bCs/>
                <w:color w:val="000000"/>
                <w:sz w:val="20"/>
                <w:szCs w:val="20"/>
                <w:lang w:val="en-GB"/>
              </w:rPr>
              <w:t>202</w:t>
            </w:r>
            <w:r>
              <w:rPr>
                <w:rFonts w:eastAsia="Times New Roman" w:cs="Calibri"/>
                <w:b/>
                <w:bCs/>
                <w:color w:val="000000"/>
                <w:sz w:val="20"/>
                <w:szCs w:val="20"/>
              </w:rPr>
              <w:t>5</w:t>
            </w:r>
          </w:p>
        </w:tc>
      </w:tr>
      <w:tr w:rsidR="00DF524F" w:rsidRPr="00BE5E19" w14:paraId="3732A357" w14:textId="77777777" w:rsidTr="00DF524F">
        <w:trPr>
          <w:trHeight w:val="255"/>
        </w:trPr>
        <w:tc>
          <w:tcPr>
            <w:tcW w:w="6030" w:type="dxa"/>
            <w:tcBorders>
              <w:top w:val="nil"/>
              <w:left w:val="nil"/>
              <w:bottom w:val="nil"/>
              <w:right w:val="nil"/>
            </w:tcBorders>
            <w:noWrap/>
            <w:vAlign w:val="bottom"/>
            <w:hideMark/>
          </w:tcPr>
          <w:p w14:paraId="48731CA8" w14:textId="413AB608"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ΕΝΕΡΓΗΤΙΚΟ</w:t>
            </w:r>
          </w:p>
        </w:tc>
        <w:tc>
          <w:tcPr>
            <w:tcW w:w="270" w:type="dxa"/>
            <w:tcBorders>
              <w:top w:val="nil"/>
              <w:left w:val="nil"/>
              <w:bottom w:val="nil"/>
              <w:right w:val="nil"/>
            </w:tcBorders>
            <w:shd w:val="clear" w:color="000000" w:fill="FFFFFF"/>
            <w:noWrap/>
            <w:vAlign w:val="bottom"/>
          </w:tcPr>
          <w:p w14:paraId="031F4395"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hideMark/>
          </w:tcPr>
          <w:p w14:paraId="617069D8"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eastAsia="Times New Roman" w:hAnsi="Aptos" w:cs="Calibri"/>
                <w:color w:val="000000"/>
                <w:sz w:val="20"/>
                <w:szCs w:val="20"/>
                <w:lang w:val="en-GB"/>
              </w:rPr>
              <w:t> </w:t>
            </w:r>
          </w:p>
        </w:tc>
        <w:tc>
          <w:tcPr>
            <w:tcW w:w="270" w:type="dxa"/>
            <w:tcBorders>
              <w:top w:val="nil"/>
              <w:left w:val="nil"/>
              <w:bottom w:val="nil"/>
              <w:right w:val="nil"/>
            </w:tcBorders>
            <w:noWrap/>
            <w:vAlign w:val="bottom"/>
            <w:hideMark/>
          </w:tcPr>
          <w:p w14:paraId="30995E96"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06CE662E" w14:textId="77777777" w:rsidR="00DF524F" w:rsidRPr="00BE5E19" w:rsidRDefault="00DF524F" w:rsidP="00DF524F">
            <w:pPr>
              <w:spacing w:after="0" w:line="240" w:lineRule="auto"/>
              <w:jc w:val="right"/>
              <w:rPr>
                <w:rFonts w:ascii="Aptos" w:eastAsia="Times New Roman" w:hAnsi="Aptos"/>
                <w:sz w:val="20"/>
                <w:szCs w:val="20"/>
                <w:lang w:val="en-GB"/>
              </w:rPr>
            </w:pPr>
            <w:r w:rsidRPr="00BE5E19">
              <w:rPr>
                <w:rFonts w:ascii="Aptos" w:eastAsia="Times New Roman" w:hAnsi="Aptos" w:cs="Calibri"/>
                <w:color w:val="000000"/>
                <w:sz w:val="20"/>
                <w:szCs w:val="20"/>
                <w:lang w:val="en-GB"/>
              </w:rPr>
              <w:t> </w:t>
            </w:r>
          </w:p>
        </w:tc>
      </w:tr>
      <w:tr w:rsidR="00DF524F" w:rsidRPr="00BE5E19" w14:paraId="08A7BD11" w14:textId="77777777" w:rsidTr="00DF524F">
        <w:trPr>
          <w:trHeight w:val="255"/>
        </w:trPr>
        <w:tc>
          <w:tcPr>
            <w:tcW w:w="6030" w:type="dxa"/>
            <w:tcBorders>
              <w:top w:val="nil"/>
              <w:left w:val="nil"/>
              <w:bottom w:val="nil"/>
              <w:right w:val="nil"/>
            </w:tcBorders>
            <w:noWrap/>
            <w:vAlign w:val="bottom"/>
            <w:hideMark/>
          </w:tcPr>
          <w:p w14:paraId="2CB11606" w14:textId="5D1E4318"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Ενσώματα πάγια</w:t>
            </w:r>
          </w:p>
        </w:tc>
        <w:tc>
          <w:tcPr>
            <w:tcW w:w="270" w:type="dxa"/>
            <w:tcBorders>
              <w:top w:val="nil"/>
              <w:left w:val="nil"/>
              <w:bottom w:val="nil"/>
              <w:right w:val="nil"/>
            </w:tcBorders>
            <w:shd w:val="clear" w:color="000000" w:fill="FFFFFF"/>
            <w:noWrap/>
            <w:vAlign w:val="bottom"/>
          </w:tcPr>
          <w:p w14:paraId="20A6C0B8"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383C12D5" w14:textId="3B3FEBE1"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1</w:t>
            </w:r>
            <w:r>
              <w:rPr>
                <w:rFonts w:ascii="Aptos" w:hAnsi="Aptos" w:cs="Calibri"/>
                <w:color w:val="000000"/>
                <w:sz w:val="20"/>
                <w:szCs w:val="20"/>
              </w:rPr>
              <w:t>.</w:t>
            </w:r>
            <w:r w:rsidRPr="00BE5E19">
              <w:rPr>
                <w:rFonts w:ascii="Aptos" w:hAnsi="Aptos" w:cs="Calibri"/>
                <w:color w:val="000000"/>
                <w:sz w:val="20"/>
                <w:szCs w:val="20"/>
              </w:rPr>
              <w:t>197</w:t>
            </w:r>
            <w:r>
              <w:rPr>
                <w:rFonts w:ascii="Aptos" w:hAnsi="Aptos" w:cs="Calibri"/>
                <w:color w:val="000000"/>
                <w:sz w:val="20"/>
                <w:szCs w:val="20"/>
              </w:rPr>
              <w:t>.</w:t>
            </w:r>
            <w:r w:rsidRPr="00BE5E19">
              <w:rPr>
                <w:rFonts w:ascii="Aptos" w:hAnsi="Aptos" w:cs="Calibri"/>
                <w:color w:val="000000"/>
                <w:sz w:val="20"/>
                <w:szCs w:val="20"/>
              </w:rPr>
              <w:t>086</w:t>
            </w:r>
          </w:p>
        </w:tc>
        <w:tc>
          <w:tcPr>
            <w:tcW w:w="270" w:type="dxa"/>
            <w:tcBorders>
              <w:top w:val="nil"/>
              <w:left w:val="nil"/>
              <w:bottom w:val="nil"/>
              <w:right w:val="nil"/>
            </w:tcBorders>
            <w:noWrap/>
            <w:vAlign w:val="bottom"/>
            <w:hideMark/>
          </w:tcPr>
          <w:p w14:paraId="73AB53DC"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0EBD2100" w14:textId="2556D21E"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w:t>
            </w:r>
            <w:r>
              <w:rPr>
                <w:rFonts w:ascii="Aptos" w:hAnsi="Aptos" w:cs="Calibri"/>
                <w:color w:val="000000"/>
                <w:sz w:val="20"/>
                <w:szCs w:val="20"/>
              </w:rPr>
              <w:t>.</w:t>
            </w:r>
            <w:r w:rsidRPr="00BE5E19">
              <w:rPr>
                <w:rFonts w:ascii="Aptos" w:hAnsi="Aptos" w:cs="Calibri"/>
                <w:color w:val="000000"/>
                <w:sz w:val="20"/>
                <w:szCs w:val="20"/>
              </w:rPr>
              <w:t>052</w:t>
            </w:r>
            <w:r>
              <w:rPr>
                <w:rFonts w:ascii="Aptos" w:hAnsi="Aptos" w:cs="Calibri"/>
                <w:color w:val="000000"/>
                <w:sz w:val="20"/>
                <w:szCs w:val="20"/>
              </w:rPr>
              <w:t>.</w:t>
            </w:r>
            <w:r w:rsidRPr="00BE5E19">
              <w:rPr>
                <w:rFonts w:ascii="Aptos" w:hAnsi="Aptos" w:cs="Calibri"/>
                <w:color w:val="000000"/>
                <w:sz w:val="20"/>
                <w:szCs w:val="20"/>
              </w:rPr>
              <w:t>333</w:t>
            </w:r>
          </w:p>
        </w:tc>
      </w:tr>
      <w:tr w:rsidR="00DF524F" w:rsidRPr="00BE5E19" w14:paraId="70967E1B" w14:textId="77777777" w:rsidTr="00DF524F">
        <w:trPr>
          <w:trHeight w:val="255"/>
        </w:trPr>
        <w:tc>
          <w:tcPr>
            <w:tcW w:w="6030" w:type="dxa"/>
            <w:tcBorders>
              <w:top w:val="nil"/>
              <w:left w:val="nil"/>
              <w:right w:val="nil"/>
            </w:tcBorders>
            <w:noWrap/>
            <w:vAlign w:val="bottom"/>
            <w:hideMark/>
          </w:tcPr>
          <w:p w14:paraId="260CF444" w14:textId="54077030" w:rsidR="00DF524F" w:rsidRPr="00BE5E19" w:rsidRDefault="00DF524F" w:rsidP="00DF524F">
            <w:pPr>
              <w:spacing w:after="0" w:line="240" w:lineRule="auto"/>
              <w:rPr>
                <w:rFonts w:ascii="Aptos" w:eastAsia="Times New Roman" w:hAnsi="Aptos" w:cs="Calibri"/>
                <w:color w:val="000000"/>
                <w:sz w:val="20"/>
                <w:szCs w:val="20"/>
                <w:lang w:val="en-GB"/>
              </w:rPr>
            </w:pPr>
            <w:r>
              <w:rPr>
                <w:rFonts w:eastAsia="MS Mincho"/>
                <w:color w:val="000000"/>
                <w:sz w:val="20"/>
                <w:szCs w:val="24"/>
              </w:rPr>
              <w:t xml:space="preserve">Άυλα </w:t>
            </w:r>
            <w:r w:rsidRPr="005460AF">
              <w:rPr>
                <w:rFonts w:eastAsia="MS Mincho"/>
                <w:color w:val="000000"/>
                <w:sz w:val="20"/>
                <w:szCs w:val="24"/>
              </w:rPr>
              <w:t>πάγια</w:t>
            </w:r>
          </w:p>
        </w:tc>
        <w:tc>
          <w:tcPr>
            <w:tcW w:w="270" w:type="dxa"/>
            <w:tcBorders>
              <w:top w:val="nil"/>
              <w:left w:val="nil"/>
              <w:right w:val="nil"/>
            </w:tcBorders>
            <w:shd w:val="clear" w:color="000000" w:fill="FFFFFF"/>
            <w:noWrap/>
            <w:vAlign w:val="bottom"/>
          </w:tcPr>
          <w:p w14:paraId="5A03AC4B"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right w:val="nil"/>
            </w:tcBorders>
            <w:shd w:val="clear" w:color="000000" w:fill="D8E4BC"/>
            <w:noWrap/>
            <w:vAlign w:val="bottom"/>
          </w:tcPr>
          <w:p w14:paraId="59F5A00C" w14:textId="6F844C76"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55</w:t>
            </w:r>
            <w:r>
              <w:rPr>
                <w:rFonts w:ascii="Aptos" w:hAnsi="Aptos" w:cs="Calibri"/>
                <w:color w:val="000000"/>
                <w:sz w:val="20"/>
                <w:szCs w:val="20"/>
              </w:rPr>
              <w:t>.</w:t>
            </w:r>
            <w:r w:rsidRPr="00BE5E19">
              <w:rPr>
                <w:rFonts w:ascii="Aptos" w:hAnsi="Aptos" w:cs="Calibri"/>
                <w:color w:val="000000"/>
                <w:sz w:val="20"/>
                <w:szCs w:val="20"/>
              </w:rPr>
              <w:t>806</w:t>
            </w:r>
          </w:p>
        </w:tc>
        <w:tc>
          <w:tcPr>
            <w:tcW w:w="270" w:type="dxa"/>
            <w:tcBorders>
              <w:top w:val="nil"/>
              <w:left w:val="nil"/>
              <w:right w:val="nil"/>
            </w:tcBorders>
            <w:noWrap/>
            <w:vAlign w:val="bottom"/>
            <w:hideMark/>
          </w:tcPr>
          <w:p w14:paraId="3F09CE4B"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right w:val="nil"/>
            </w:tcBorders>
            <w:noWrap/>
            <w:vAlign w:val="bottom"/>
            <w:hideMark/>
          </w:tcPr>
          <w:p w14:paraId="763BD63B" w14:textId="16B62F26"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55</w:t>
            </w:r>
            <w:r>
              <w:rPr>
                <w:rFonts w:ascii="Aptos" w:hAnsi="Aptos" w:cs="Calibri"/>
                <w:color w:val="000000"/>
                <w:sz w:val="20"/>
                <w:szCs w:val="20"/>
              </w:rPr>
              <w:t>.</w:t>
            </w:r>
            <w:r w:rsidRPr="00BE5E19">
              <w:rPr>
                <w:rFonts w:ascii="Aptos" w:hAnsi="Aptos" w:cs="Calibri"/>
                <w:color w:val="000000"/>
                <w:sz w:val="20"/>
                <w:szCs w:val="20"/>
              </w:rPr>
              <w:t>017</w:t>
            </w:r>
          </w:p>
        </w:tc>
      </w:tr>
      <w:tr w:rsidR="00DF524F" w:rsidRPr="00BE5E19" w14:paraId="7D5E7EF0" w14:textId="77777777" w:rsidTr="00DF524F">
        <w:trPr>
          <w:trHeight w:val="270"/>
        </w:trPr>
        <w:tc>
          <w:tcPr>
            <w:tcW w:w="6030" w:type="dxa"/>
            <w:tcBorders>
              <w:top w:val="nil"/>
              <w:left w:val="nil"/>
              <w:right w:val="nil"/>
            </w:tcBorders>
            <w:noWrap/>
            <w:vAlign w:val="bottom"/>
          </w:tcPr>
          <w:p w14:paraId="5870C892" w14:textId="729F636D"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Συμμετοχές σε συγγενείς επιχειρήσεις</w:t>
            </w:r>
          </w:p>
        </w:tc>
        <w:tc>
          <w:tcPr>
            <w:tcW w:w="270" w:type="dxa"/>
            <w:tcBorders>
              <w:top w:val="nil"/>
              <w:left w:val="nil"/>
              <w:right w:val="nil"/>
            </w:tcBorders>
            <w:shd w:val="clear" w:color="000000" w:fill="FFFFFF"/>
            <w:noWrap/>
            <w:vAlign w:val="bottom"/>
          </w:tcPr>
          <w:p w14:paraId="79CB5F21"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right w:val="nil"/>
            </w:tcBorders>
            <w:shd w:val="clear" w:color="000000" w:fill="D8E4BC"/>
            <w:noWrap/>
            <w:vAlign w:val="bottom"/>
          </w:tcPr>
          <w:p w14:paraId="0A0D69E1" w14:textId="6F64C327" w:rsidR="00DF524F" w:rsidRPr="00BE5E19"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36</w:t>
            </w:r>
            <w:r>
              <w:rPr>
                <w:rFonts w:ascii="Aptos" w:hAnsi="Aptos" w:cs="Calibri"/>
                <w:color w:val="000000"/>
                <w:sz w:val="20"/>
                <w:szCs w:val="20"/>
              </w:rPr>
              <w:t>.</w:t>
            </w:r>
            <w:r w:rsidRPr="00BE5E19">
              <w:rPr>
                <w:rFonts w:ascii="Aptos" w:hAnsi="Aptos" w:cs="Calibri"/>
                <w:color w:val="000000"/>
                <w:sz w:val="20"/>
                <w:szCs w:val="20"/>
              </w:rPr>
              <w:t>101</w:t>
            </w:r>
          </w:p>
        </w:tc>
        <w:tc>
          <w:tcPr>
            <w:tcW w:w="270" w:type="dxa"/>
            <w:tcBorders>
              <w:top w:val="nil"/>
              <w:left w:val="nil"/>
              <w:right w:val="nil"/>
            </w:tcBorders>
            <w:noWrap/>
            <w:vAlign w:val="bottom"/>
          </w:tcPr>
          <w:p w14:paraId="3FA39E00"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right w:val="nil"/>
            </w:tcBorders>
            <w:noWrap/>
            <w:vAlign w:val="bottom"/>
          </w:tcPr>
          <w:p w14:paraId="02F147DC" w14:textId="112F0317" w:rsidR="00DF524F" w:rsidRPr="00BE5E19" w:rsidRDefault="00DF524F" w:rsidP="00DF524F">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36</w:t>
            </w:r>
            <w:r>
              <w:rPr>
                <w:rFonts w:ascii="Aptos" w:hAnsi="Aptos" w:cs="Calibri"/>
                <w:color w:val="000000"/>
                <w:sz w:val="20"/>
                <w:szCs w:val="20"/>
              </w:rPr>
              <w:t>.</w:t>
            </w:r>
            <w:r w:rsidRPr="00BE5E19">
              <w:rPr>
                <w:rFonts w:ascii="Aptos" w:hAnsi="Aptos" w:cs="Calibri"/>
                <w:color w:val="000000"/>
                <w:sz w:val="20"/>
                <w:szCs w:val="20"/>
              </w:rPr>
              <w:t>109</w:t>
            </w:r>
          </w:p>
        </w:tc>
      </w:tr>
      <w:tr w:rsidR="00DF524F" w:rsidRPr="00BE5E19" w14:paraId="1A8DDB1F" w14:textId="77777777" w:rsidTr="00DF524F">
        <w:trPr>
          <w:trHeight w:val="270"/>
        </w:trPr>
        <w:tc>
          <w:tcPr>
            <w:tcW w:w="6030" w:type="dxa"/>
            <w:tcBorders>
              <w:left w:val="nil"/>
              <w:bottom w:val="single" w:sz="8" w:space="0" w:color="4F6228"/>
              <w:right w:val="nil"/>
            </w:tcBorders>
            <w:noWrap/>
            <w:vAlign w:val="bottom"/>
            <w:hideMark/>
          </w:tcPr>
          <w:p w14:paraId="2D38A9FD" w14:textId="586ADDAF" w:rsidR="00DF524F" w:rsidRPr="00DF524F" w:rsidRDefault="00DF524F" w:rsidP="00DF524F">
            <w:pPr>
              <w:spacing w:after="0" w:line="240" w:lineRule="auto"/>
              <w:rPr>
                <w:rFonts w:ascii="Aptos" w:eastAsia="Times New Roman" w:hAnsi="Aptos" w:cs="Calibri"/>
                <w:color w:val="000000"/>
                <w:sz w:val="20"/>
                <w:szCs w:val="20"/>
              </w:rPr>
            </w:pPr>
            <w:r w:rsidRPr="005460AF">
              <w:rPr>
                <w:rFonts w:eastAsia="MS Mincho"/>
                <w:color w:val="000000"/>
                <w:sz w:val="20"/>
                <w:szCs w:val="24"/>
              </w:rPr>
              <w:t>Λοιπά μη κυκλοφορούντα περιουσιακά στοιχεία</w:t>
            </w:r>
          </w:p>
        </w:tc>
        <w:tc>
          <w:tcPr>
            <w:tcW w:w="270" w:type="dxa"/>
            <w:tcBorders>
              <w:left w:val="nil"/>
              <w:bottom w:val="nil"/>
              <w:right w:val="nil"/>
            </w:tcBorders>
            <w:shd w:val="clear" w:color="000000" w:fill="FFFFFF"/>
            <w:noWrap/>
            <w:vAlign w:val="bottom"/>
          </w:tcPr>
          <w:p w14:paraId="71DE0F92" w14:textId="77777777" w:rsidR="00DF524F" w:rsidRPr="00DF524F" w:rsidRDefault="00DF524F" w:rsidP="00DF524F">
            <w:pPr>
              <w:spacing w:after="0" w:line="240" w:lineRule="auto"/>
              <w:rPr>
                <w:rFonts w:ascii="Aptos" w:eastAsia="Times New Roman" w:hAnsi="Aptos" w:cs="Calibri"/>
                <w:color w:val="000000"/>
                <w:sz w:val="20"/>
                <w:szCs w:val="20"/>
              </w:rPr>
            </w:pPr>
          </w:p>
        </w:tc>
        <w:tc>
          <w:tcPr>
            <w:tcW w:w="1800" w:type="dxa"/>
            <w:tcBorders>
              <w:left w:val="nil"/>
              <w:bottom w:val="single" w:sz="8" w:space="0" w:color="4F6228"/>
              <w:right w:val="nil"/>
            </w:tcBorders>
            <w:shd w:val="clear" w:color="000000" w:fill="D8E4BC"/>
            <w:noWrap/>
            <w:vAlign w:val="bottom"/>
          </w:tcPr>
          <w:p w14:paraId="6F084ADF" w14:textId="11576105"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23</w:t>
            </w:r>
            <w:r>
              <w:rPr>
                <w:rFonts w:ascii="Aptos" w:hAnsi="Aptos" w:cs="Calibri"/>
                <w:color w:val="000000"/>
                <w:sz w:val="20"/>
                <w:szCs w:val="20"/>
              </w:rPr>
              <w:t>.</w:t>
            </w:r>
            <w:r w:rsidRPr="00BE5E19">
              <w:rPr>
                <w:rFonts w:ascii="Aptos" w:hAnsi="Aptos" w:cs="Calibri"/>
                <w:color w:val="000000"/>
                <w:sz w:val="20"/>
                <w:szCs w:val="20"/>
              </w:rPr>
              <w:t>037</w:t>
            </w:r>
          </w:p>
        </w:tc>
        <w:tc>
          <w:tcPr>
            <w:tcW w:w="270" w:type="dxa"/>
            <w:tcBorders>
              <w:left w:val="nil"/>
              <w:bottom w:val="nil"/>
              <w:right w:val="nil"/>
            </w:tcBorders>
            <w:noWrap/>
            <w:vAlign w:val="bottom"/>
            <w:hideMark/>
          </w:tcPr>
          <w:p w14:paraId="2C2D5083"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left w:val="nil"/>
              <w:bottom w:val="single" w:sz="8" w:space="0" w:color="4F6228"/>
              <w:right w:val="nil"/>
            </w:tcBorders>
            <w:noWrap/>
            <w:vAlign w:val="bottom"/>
            <w:hideMark/>
          </w:tcPr>
          <w:p w14:paraId="61768309" w14:textId="4979DD14"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30</w:t>
            </w:r>
            <w:r>
              <w:rPr>
                <w:rFonts w:ascii="Aptos" w:hAnsi="Aptos" w:cs="Calibri"/>
                <w:color w:val="000000"/>
                <w:sz w:val="20"/>
                <w:szCs w:val="20"/>
              </w:rPr>
              <w:t>.</w:t>
            </w:r>
            <w:r w:rsidRPr="00BE5E19">
              <w:rPr>
                <w:rFonts w:ascii="Aptos" w:hAnsi="Aptos" w:cs="Calibri"/>
                <w:color w:val="000000"/>
                <w:sz w:val="20"/>
                <w:szCs w:val="20"/>
              </w:rPr>
              <w:t>538</w:t>
            </w:r>
          </w:p>
        </w:tc>
      </w:tr>
      <w:tr w:rsidR="00DF524F" w:rsidRPr="00BE5E19" w14:paraId="5A1E31CD" w14:textId="77777777" w:rsidTr="00DF524F">
        <w:trPr>
          <w:trHeight w:val="270"/>
        </w:trPr>
        <w:tc>
          <w:tcPr>
            <w:tcW w:w="6030" w:type="dxa"/>
            <w:tcBorders>
              <w:top w:val="nil"/>
              <w:left w:val="nil"/>
              <w:bottom w:val="single" w:sz="8" w:space="0" w:color="4F6228"/>
              <w:right w:val="nil"/>
            </w:tcBorders>
            <w:noWrap/>
            <w:vAlign w:val="bottom"/>
            <w:hideMark/>
          </w:tcPr>
          <w:p w14:paraId="4F1BE87C" w14:textId="79A6FAE0"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Μη κυκλοφορούν ενεργητικό</w:t>
            </w:r>
          </w:p>
        </w:tc>
        <w:tc>
          <w:tcPr>
            <w:tcW w:w="270" w:type="dxa"/>
            <w:tcBorders>
              <w:top w:val="nil"/>
              <w:left w:val="nil"/>
              <w:bottom w:val="nil"/>
              <w:right w:val="nil"/>
            </w:tcBorders>
            <w:shd w:val="clear" w:color="000000" w:fill="FFFFFF"/>
            <w:noWrap/>
            <w:vAlign w:val="bottom"/>
          </w:tcPr>
          <w:p w14:paraId="7CB2CE09"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72972C2C" w14:textId="45F0BA9D"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312</w:t>
            </w:r>
            <w:r>
              <w:rPr>
                <w:rFonts w:ascii="Aptos" w:hAnsi="Aptos" w:cs="Calibri"/>
                <w:b/>
                <w:bCs/>
                <w:color w:val="000000"/>
                <w:sz w:val="20"/>
                <w:szCs w:val="20"/>
              </w:rPr>
              <w:t>.</w:t>
            </w:r>
            <w:r w:rsidRPr="0025770E">
              <w:rPr>
                <w:rFonts w:ascii="Aptos" w:hAnsi="Aptos" w:cs="Calibri"/>
                <w:b/>
                <w:bCs/>
                <w:color w:val="000000"/>
                <w:sz w:val="20"/>
                <w:szCs w:val="20"/>
              </w:rPr>
              <w:t>031</w:t>
            </w:r>
          </w:p>
        </w:tc>
        <w:tc>
          <w:tcPr>
            <w:tcW w:w="270" w:type="dxa"/>
            <w:tcBorders>
              <w:top w:val="nil"/>
              <w:left w:val="nil"/>
              <w:bottom w:val="nil"/>
              <w:right w:val="nil"/>
            </w:tcBorders>
            <w:noWrap/>
            <w:vAlign w:val="bottom"/>
            <w:hideMark/>
          </w:tcPr>
          <w:p w14:paraId="2C868C65"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40C4D4A2" w14:textId="29B58E63"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173</w:t>
            </w:r>
            <w:r>
              <w:rPr>
                <w:rFonts w:ascii="Aptos" w:hAnsi="Aptos" w:cs="Calibri"/>
                <w:b/>
                <w:bCs/>
                <w:color w:val="000000"/>
                <w:sz w:val="20"/>
                <w:szCs w:val="20"/>
              </w:rPr>
              <w:t>.</w:t>
            </w:r>
            <w:r w:rsidRPr="0025770E">
              <w:rPr>
                <w:rFonts w:ascii="Aptos" w:hAnsi="Aptos" w:cs="Calibri"/>
                <w:b/>
                <w:bCs/>
                <w:color w:val="000000"/>
                <w:sz w:val="20"/>
                <w:szCs w:val="20"/>
              </w:rPr>
              <w:t>997</w:t>
            </w:r>
          </w:p>
        </w:tc>
      </w:tr>
      <w:tr w:rsidR="00DF524F" w:rsidRPr="00BE5E19" w14:paraId="35BE884E" w14:textId="77777777" w:rsidTr="00DF524F">
        <w:trPr>
          <w:trHeight w:val="255"/>
        </w:trPr>
        <w:tc>
          <w:tcPr>
            <w:tcW w:w="6030" w:type="dxa"/>
            <w:tcBorders>
              <w:top w:val="nil"/>
              <w:left w:val="nil"/>
              <w:bottom w:val="nil"/>
              <w:right w:val="nil"/>
            </w:tcBorders>
            <w:noWrap/>
            <w:vAlign w:val="bottom"/>
            <w:hideMark/>
          </w:tcPr>
          <w:p w14:paraId="53697557" w14:textId="32DBB223"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Αποθέματα</w:t>
            </w:r>
          </w:p>
        </w:tc>
        <w:tc>
          <w:tcPr>
            <w:tcW w:w="270" w:type="dxa"/>
            <w:tcBorders>
              <w:top w:val="nil"/>
              <w:left w:val="nil"/>
              <w:bottom w:val="nil"/>
              <w:right w:val="nil"/>
            </w:tcBorders>
            <w:shd w:val="clear" w:color="000000" w:fill="FFFFFF"/>
            <w:noWrap/>
            <w:vAlign w:val="bottom"/>
          </w:tcPr>
          <w:p w14:paraId="0FC76BB7"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707C0E8A" w14:textId="47D0E359"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744</w:t>
            </w:r>
            <w:r>
              <w:rPr>
                <w:rFonts w:ascii="Aptos" w:hAnsi="Aptos" w:cs="Calibri"/>
                <w:color w:val="000000"/>
                <w:sz w:val="20"/>
                <w:szCs w:val="20"/>
              </w:rPr>
              <w:t>.</w:t>
            </w:r>
            <w:r w:rsidRPr="00BE5E19">
              <w:rPr>
                <w:rFonts w:ascii="Aptos" w:hAnsi="Aptos" w:cs="Calibri"/>
                <w:color w:val="000000"/>
                <w:sz w:val="20"/>
                <w:szCs w:val="20"/>
              </w:rPr>
              <w:t>182</w:t>
            </w:r>
          </w:p>
        </w:tc>
        <w:tc>
          <w:tcPr>
            <w:tcW w:w="270" w:type="dxa"/>
            <w:tcBorders>
              <w:top w:val="nil"/>
              <w:left w:val="nil"/>
              <w:bottom w:val="nil"/>
              <w:right w:val="nil"/>
            </w:tcBorders>
            <w:noWrap/>
            <w:vAlign w:val="bottom"/>
            <w:hideMark/>
          </w:tcPr>
          <w:p w14:paraId="6246B3C6"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4D6BA5A5" w14:textId="4A5A8FBC"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565</w:t>
            </w:r>
            <w:r>
              <w:rPr>
                <w:rFonts w:ascii="Aptos" w:hAnsi="Aptos" w:cs="Calibri"/>
                <w:color w:val="000000"/>
                <w:sz w:val="20"/>
                <w:szCs w:val="20"/>
              </w:rPr>
              <w:t>.</w:t>
            </w:r>
            <w:r w:rsidRPr="00BE5E19">
              <w:rPr>
                <w:rFonts w:ascii="Aptos" w:hAnsi="Aptos" w:cs="Calibri"/>
                <w:color w:val="000000"/>
                <w:sz w:val="20"/>
                <w:szCs w:val="20"/>
              </w:rPr>
              <w:t>468</w:t>
            </w:r>
          </w:p>
        </w:tc>
      </w:tr>
      <w:tr w:rsidR="00DF524F" w:rsidRPr="00BE5E19" w14:paraId="2C07C70A" w14:textId="77777777" w:rsidTr="00DF524F">
        <w:trPr>
          <w:trHeight w:val="255"/>
        </w:trPr>
        <w:tc>
          <w:tcPr>
            <w:tcW w:w="6030" w:type="dxa"/>
            <w:tcBorders>
              <w:top w:val="nil"/>
              <w:left w:val="nil"/>
              <w:bottom w:val="nil"/>
              <w:right w:val="nil"/>
            </w:tcBorders>
            <w:noWrap/>
            <w:vAlign w:val="bottom"/>
            <w:hideMark/>
          </w:tcPr>
          <w:p w14:paraId="697FD83F" w14:textId="0AC3E616"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Εμπορικές και λοιπές απαιτήσεις</w:t>
            </w:r>
          </w:p>
        </w:tc>
        <w:tc>
          <w:tcPr>
            <w:tcW w:w="270" w:type="dxa"/>
            <w:tcBorders>
              <w:top w:val="nil"/>
              <w:left w:val="nil"/>
              <w:bottom w:val="nil"/>
              <w:right w:val="nil"/>
            </w:tcBorders>
            <w:shd w:val="clear" w:color="000000" w:fill="FFFFFF"/>
            <w:noWrap/>
            <w:vAlign w:val="bottom"/>
          </w:tcPr>
          <w:p w14:paraId="6897E6C4"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267CCD0A" w14:textId="4DEB792F" w:rsidR="00DF524F" w:rsidRPr="0025770E" w:rsidRDefault="00DF524F" w:rsidP="00DF524F">
            <w:pPr>
              <w:spacing w:after="0" w:line="240" w:lineRule="auto"/>
              <w:jc w:val="right"/>
              <w:rPr>
                <w:rFonts w:ascii="Aptos" w:hAnsi="Aptos" w:cs="Calibri"/>
                <w:color w:val="000000"/>
                <w:sz w:val="20"/>
                <w:szCs w:val="20"/>
              </w:rPr>
            </w:pPr>
            <w:r w:rsidRPr="000B2773">
              <w:rPr>
                <w:rFonts w:ascii="Aptos" w:hAnsi="Aptos" w:cs="Calibri"/>
                <w:color w:val="000000"/>
                <w:sz w:val="20"/>
                <w:szCs w:val="20"/>
              </w:rPr>
              <w:t>231</w:t>
            </w:r>
            <w:r>
              <w:rPr>
                <w:rFonts w:ascii="Aptos" w:hAnsi="Aptos" w:cs="Calibri"/>
                <w:color w:val="000000"/>
                <w:sz w:val="20"/>
                <w:szCs w:val="20"/>
              </w:rPr>
              <w:t>.</w:t>
            </w:r>
            <w:r w:rsidRPr="000B2773">
              <w:rPr>
                <w:rFonts w:ascii="Aptos" w:hAnsi="Aptos" w:cs="Calibri"/>
                <w:color w:val="000000"/>
                <w:sz w:val="20"/>
                <w:szCs w:val="20"/>
              </w:rPr>
              <w:t>463</w:t>
            </w:r>
          </w:p>
        </w:tc>
        <w:tc>
          <w:tcPr>
            <w:tcW w:w="270" w:type="dxa"/>
            <w:tcBorders>
              <w:top w:val="nil"/>
              <w:left w:val="nil"/>
              <w:bottom w:val="nil"/>
              <w:right w:val="nil"/>
            </w:tcBorders>
            <w:noWrap/>
            <w:vAlign w:val="bottom"/>
            <w:hideMark/>
          </w:tcPr>
          <w:p w14:paraId="1CD2B853"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5AF60AC3" w14:textId="7C6B1251"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137</w:t>
            </w:r>
            <w:r>
              <w:rPr>
                <w:rFonts w:ascii="Aptos" w:hAnsi="Aptos" w:cs="Calibri"/>
                <w:color w:val="000000"/>
                <w:sz w:val="20"/>
                <w:szCs w:val="20"/>
              </w:rPr>
              <w:t>.</w:t>
            </w:r>
            <w:r w:rsidRPr="00BE5E19">
              <w:rPr>
                <w:rFonts w:ascii="Aptos" w:hAnsi="Aptos" w:cs="Calibri"/>
                <w:color w:val="000000"/>
                <w:sz w:val="20"/>
                <w:szCs w:val="20"/>
              </w:rPr>
              <w:t>830</w:t>
            </w:r>
          </w:p>
        </w:tc>
      </w:tr>
      <w:tr w:rsidR="00DF524F" w:rsidRPr="00BE5E19" w14:paraId="0CA2F315" w14:textId="77777777" w:rsidTr="00DF524F">
        <w:trPr>
          <w:trHeight w:val="255"/>
        </w:trPr>
        <w:tc>
          <w:tcPr>
            <w:tcW w:w="6030" w:type="dxa"/>
            <w:tcBorders>
              <w:top w:val="nil"/>
              <w:left w:val="nil"/>
              <w:bottom w:val="nil"/>
              <w:right w:val="nil"/>
            </w:tcBorders>
            <w:noWrap/>
            <w:vAlign w:val="bottom"/>
            <w:hideMark/>
          </w:tcPr>
          <w:p w14:paraId="416B8933" w14:textId="7F93D8AF"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Συμβατικά περιουσιακά στοιχεία</w:t>
            </w:r>
          </w:p>
        </w:tc>
        <w:tc>
          <w:tcPr>
            <w:tcW w:w="270" w:type="dxa"/>
            <w:tcBorders>
              <w:top w:val="nil"/>
              <w:left w:val="nil"/>
              <w:bottom w:val="nil"/>
              <w:right w:val="nil"/>
            </w:tcBorders>
            <w:shd w:val="clear" w:color="000000" w:fill="FFFFFF"/>
            <w:noWrap/>
            <w:vAlign w:val="bottom"/>
          </w:tcPr>
          <w:p w14:paraId="557B36B4"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72EE74AC" w14:textId="3105E85D"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313</w:t>
            </w:r>
            <w:r>
              <w:rPr>
                <w:rFonts w:ascii="Aptos" w:hAnsi="Aptos" w:cs="Calibri"/>
                <w:color w:val="000000"/>
                <w:sz w:val="20"/>
                <w:szCs w:val="20"/>
              </w:rPr>
              <w:t>.</w:t>
            </w:r>
            <w:r w:rsidRPr="00BE5E19">
              <w:rPr>
                <w:rFonts w:ascii="Aptos" w:hAnsi="Aptos" w:cs="Calibri"/>
                <w:color w:val="000000"/>
                <w:sz w:val="20"/>
                <w:szCs w:val="20"/>
              </w:rPr>
              <w:t>719</w:t>
            </w:r>
          </w:p>
        </w:tc>
        <w:tc>
          <w:tcPr>
            <w:tcW w:w="270" w:type="dxa"/>
            <w:tcBorders>
              <w:top w:val="nil"/>
              <w:left w:val="nil"/>
              <w:bottom w:val="nil"/>
              <w:right w:val="nil"/>
            </w:tcBorders>
            <w:noWrap/>
            <w:vAlign w:val="bottom"/>
            <w:hideMark/>
          </w:tcPr>
          <w:p w14:paraId="40FEF028"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0F500A2C" w14:textId="57471D15"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262</w:t>
            </w:r>
            <w:r>
              <w:rPr>
                <w:rFonts w:ascii="Aptos" w:hAnsi="Aptos" w:cs="Calibri"/>
                <w:color w:val="000000"/>
                <w:sz w:val="20"/>
                <w:szCs w:val="20"/>
              </w:rPr>
              <w:t>.</w:t>
            </w:r>
            <w:r w:rsidRPr="00BE5E19">
              <w:rPr>
                <w:rFonts w:ascii="Aptos" w:hAnsi="Aptos" w:cs="Calibri"/>
                <w:color w:val="000000"/>
                <w:sz w:val="20"/>
                <w:szCs w:val="20"/>
              </w:rPr>
              <w:t>596</w:t>
            </w:r>
          </w:p>
        </w:tc>
      </w:tr>
      <w:tr w:rsidR="00DF524F" w:rsidRPr="00BE5E19" w14:paraId="3E0E645B" w14:textId="77777777" w:rsidTr="00DF524F">
        <w:trPr>
          <w:trHeight w:val="255"/>
        </w:trPr>
        <w:tc>
          <w:tcPr>
            <w:tcW w:w="6030" w:type="dxa"/>
            <w:tcBorders>
              <w:top w:val="nil"/>
              <w:left w:val="nil"/>
              <w:bottom w:val="nil"/>
              <w:right w:val="nil"/>
            </w:tcBorders>
            <w:noWrap/>
            <w:vAlign w:val="bottom"/>
            <w:hideMark/>
          </w:tcPr>
          <w:p w14:paraId="62542FD6" w14:textId="42C0A462"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Ταμειακά διαθέσιμα και ισοδύναμα</w:t>
            </w:r>
          </w:p>
        </w:tc>
        <w:tc>
          <w:tcPr>
            <w:tcW w:w="270" w:type="dxa"/>
            <w:tcBorders>
              <w:top w:val="nil"/>
              <w:left w:val="nil"/>
              <w:bottom w:val="nil"/>
              <w:right w:val="nil"/>
            </w:tcBorders>
            <w:shd w:val="clear" w:color="000000" w:fill="FFFFFF"/>
            <w:noWrap/>
            <w:vAlign w:val="bottom"/>
          </w:tcPr>
          <w:p w14:paraId="52BC2252"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167D8E1D" w14:textId="5EBDE303"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282</w:t>
            </w:r>
            <w:r>
              <w:rPr>
                <w:rFonts w:ascii="Aptos" w:hAnsi="Aptos" w:cs="Calibri"/>
                <w:color w:val="000000"/>
                <w:sz w:val="20"/>
                <w:szCs w:val="20"/>
              </w:rPr>
              <w:t>.</w:t>
            </w:r>
            <w:r w:rsidRPr="00BE5E19">
              <w:rPr>
                <w:rFonts w:ascii="Aptos" w:hAnsi="Aptos" w:cs="Calibri"/>
                <w:color w:val="000000"/>
                <w:sz w:val="20"/>
                <w:szCs w:val="20"/>
              </w:rPr>
              <w:t>484</w:t>
            </w:r>
          </w:p>
        </w:tc>
        <w:tc>
          <w:tcPr>
            <w:tcW w:w="270" w:type="dxa"/>
            <w:tcBorders>
              <w:top w:val="nil"/>
              <w:left w:val="nil"/>
              <w:bottom w:val="nil"/>
              <w:right w:val="nil"/>
            </w:tcBorders>
            <w:noWrap/>
            <w:vAlign w:val="bottom"/>
            <w:hideMark/>
          </w:tcPr>
          <w:p w14:paraId="69C1BEB5"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48BE0D3B" w14:textId="79FE95A6"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442</w:t>
            </w:r>
            <w:r>
              <w:rPr>
                <w:rFonts w:ascii="Aptos" w:hAnsi="Aptos" w:cs="Calibri"/>
                <w:color w:val="000000"/>
                <w:sz w:val="20"/>
                <w:szCs w:val="20"/>
              </w:rPr>
              <w:t>.</w:t>
            </w:r>
            <w:r w:rsidRPr="00BE5E19">
              <w:rPr>
                <w:rFonts w:ascii="Aptos" w:hAnsi="Aptos" w:cs="Calibri"/>
                <w:color w:val="000000"/>
                <w:sz w:val="20"/>
                <w:szCs w:val="20"/>
              </w:rPr>
              <w:t>508</w:t>
            </w:r>
          </w:p>
        </w:tc>
      </w:tr>
      <w:tr w:rsidR="00DF524F" w:rsidRPr="00BE5E19" w14:paraId="748AFCE0" w14:textId="77777777" w:rsidTr="00DF524F">
        <w:trPr>
          <w:trHeight w:val="270"/>
        </w:trPr>
        <w:tc>
          <w:tcPr>
            <w:tcW w:w="6030" w:type="dxa"/>
            <w:tcBorders>
              <w:top w:val="nil"/>
              <w:left w:val="nil"/>
              <w:bottom w:val="single" w:sz="8" w:space="0" w:color="4F6228"/>
              <w:right w:val="nil"/>
            </w:tcBorders>
            <w:noWrap/>
            <w:vAlign w:val="bottom"/>
            <w:hideMark/>
          </w:tcPr>
          <w:p w14:paraId="492CBB51" w14:textId="0AD7520F"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Λοιπά κυκλοφορούντα περιουσιακά στοιχεία</w:t>
            </w:r>
          </w:p>
        </w:tc>
        <w:tc>
          <w:tcPr>
            <w:tcW w:w="270" w:type="dxa"/>
            <w:tcBorders>
              <w:top w:val="nil"/>
              <w:left w:val="nil"/>
              <w:bottom w:val="nil"/>
              <w:right w:val="nil"/>
            </w:tcBorders>
            <w:shd w:val="clear" w:color="000000" w:fill="FFFFFF"/>
            <w:noWrap/>
            <w:vAlign w:val="bottom"/>
          </w:tcPr>
          <w:p w14:paraId="541AFE79"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2AA13EF3" w14:textId="5BB5D3B5"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14</w:t>
            </w:r>
            <w:r>
              <w:rPr>
                <w:rFonts w:ascii="Aptos" w:hAnsi="Aptos" w:cs="Calibri"/>
                <w:color w:val="000000"/>
                <w:sz w:val="20"/>
                <w:szCs w:val="20"/>
              </w:rPr>
              <w:t>.</w:t>
            </w:r>
            <w:r w:rsidRPr="00BE5E19">
              <w:rPr>
                <w:rFonts w:ascii="Aptos" w:hAnsi="Aptos" w:cs="Calibri"/>
                <w:color w:val="000000"/>
                <w:sz w:val="20"/>
                <w:szCs w:val="20"/>
              </w:rPr>
              <w:t>188</w:t>
            </w:r>
          </w:p>
        </w:tc>
        <w:tc>
          <w:tcPr>
            <w:tcW w:w="270" w:type="dxa"/>
            <w:tcBorders>
              <w:top w:val="nil"/>
              <w:left w:val="nil"/>
              <w:bottom w:val="nil"/>
              <w:right w:val="nil"/>
            </w:tcBorders>
            <w:noWrap/>
            <w:vAlign w:val="bottom"/>
            <w:hideMark/>
          </w:tcPr>
          <w:p w14:paraId="06F8C5B3"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single" w:sz="8" w:space="0" w:color="4F6228"/>
              <w:right w:val="nil"/>
            </w:tcBorders>
            <w:noWrap/>
            <w:vAlign w:val="bottom"/>
            <w:hideMark/>
          </w:tcPr>
          <w:p w14:paraId="10C51A34" w14:textId="00CFB57D"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40</w:t>
            </w:r>
            <w:r>
              <w:rPr>
                <w:rFonts w:ascii="Aptos" w:hAnsi="Aptos" w:cs="Calibri"/>
                <w:color w:val="000000"/>
                <w:sz w:val="20"/>
                <w:szCs w:val="20"/>
              </w:rPr>
              <w:t>.</w:t>
            </w:r>
            <w:r w:rsidRPr="00BE5E19">
              <w:rPr>
                <w:rFonts w:ascii="Aptos" w:hAnsi="Aptos" w:cs="Calibri"/>
                <w:color w:val="000000"/>
                <w:sz w:val="20"/>
                <w:szCs w:val="20"/>
              </w:rPr>
              <w:t>189</w:t>
            </w:r>
          </w:p>
        </w:tc>
      </w:tr>
      <w:tr w:rsidR="00DF524F" w:rsidRPr="00BE5E19" w14:paraId="0AB112BE" w14:textId="77777777" w:rsidTr="00DF524F">
        <w:trPr>
          <w:trHeight w:val="270"/>
        </w:trPr>
        <w:tc>
          <w:tcPr>
            <w:tcW w:w="6030" w:type="dxa"/>
            <w:tcBorders>
              <w:top w:val="nil"/>
              <w:left w:val="nil"/>
              <w:bottom w:val="single" w:sz="8" w:space="0" w:color="4F6228"/>
              <w:right w:val="nil"/>
            </w:tcBorders>
            <w:noWrap/>
            <w:vAlign w:val="bottom"/>
            <w:hideMark/>
          </w:tcPr>
          <w:p w14:paraId="1314223A" w14:textId="520C4BC9"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Κυκλοφορούν ενεργητικό</w:t>
            </w:r>
          </w:p>
        </w:tc>
        <w:tc>
          <w:tcPr>
            <w:tcW w:w="270" w:type="dxa"/>
            <w:tcBorders>
              <w:top w:val="nil"/>
              <w:left w:val="nil"/>
              <w:bottom w:val="nil"/>
              <w:right w:val="nil"/>
            </w:tcBorders>
            <w:shd w:val="clear" w:color="000000" w:fill="FFFFFF"/>
            <w:noWrap/>
            <w:vAlign w:val="bottom"/>
          </w:tcPr>
          <w:p w14:paraId="0671C07F"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54F28F2B" w14:textId="2CDE2F0D"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586</w:t>
            </w:r>
            <w:r>
              <w:rPr>
                <w:rFonts w:ascii="Aptos" w:hAnsi="Aptos" w:cs="Calibri"/>
                <w:b/>
                <w:bCs/>
                <w:color w:val="000000"/>
                <w:sz w:val="20"/>
                <w:szCs w:val="20"/>
              </w:rPr>
              <w:t>.</w:t>
            </w:r>
            <w:r w:rsidRPr="0025770E">
              <w:rPr>
                <w:rFonts w:ascii="Aptos" w:hAnsi="Aptos" w:cs="Calibri"/>
                <w:b/>
                <w:bCs/>
                <w:color w:val="000000"/>
                <w:sz w:val="20"/>
                <w:szCs w:val="20"/>
              </w:rPr>
              <w:t>036</w:t>
            </w:r>
          </w:p>
        </w:tc>
        <w:tc>
          <w:tcPr>
            <w:tcW w:w="270" w:type="dxa"/>
            <w:tcBorders>
              <w:top w:val="nil"/>
              <w:left w:val="nil"/>
              <w:bottom w:val="nil"/>
              <w:right w:val="nil"/>
            </w:tcBorders>
            <w:noWrap/>
            <w:vAlign w:val="bottom"/>
            <w:hideMark/>
          </w:tcPr>
          <w:p w14:paraId="786B45F3"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4667799B" w14:textId="1D11DB6F"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448</w:t>
            </w:r>
            <w:r>
              <w:rPr>
                <w:rFonts w:ascii="Aptos" w:hAnsi="Aptos" w:cs="Calibri"/>
                <w:b/>
                <w:bCs/>
                <w:color w:val="000000"/>
                <w:sz w:val="20"/>
                <w:szCs w:val="20"/>
              </w:rPr>
              <w:t>.</w:t>
            </w:r>
            <w:r w:rsidRPr="0025770E">
              <w:rPr>
                <w:rFonts w:ascii="Aptos" w:hAnsi="Aptos" w:cs="Calibri"/>
                <w:b/>
                <w:bCs/>
                <w:color w:val="000000"/>
                <w:sz w:val="20"/>
                <w:szCs w:val="20"/>
              </w:rPr>
              <w:t>591</w:t>
            </w:r>
          </w:p>
        </w:tc>
      </w:tr>
      <w:tr w:rsidR="00DF524F" w:rsidRPr="00BE5E19" w14:paraId="21A9E0BB" w14:textId="77777777" w:rsidTr="00DF524F">
        <w:trPr>
          <w:trHeight w:val="270"/>
        </w:trPr>
        <w:tc>
          <w:tcPr>
            <w:tcW w:w="6030" w:type="dxa"/>
            <w:tcBorders>
              <w:top w:val="nil"/>
              <w:left w:val="nil"/>
              <w:bottom w:val="single" w:sz="8" w:space="0" w:color="4F6228"/>
              <w:right w:val="nil"/>
            </w:tcBorders>
            <w:noWrap/>
            <w:vAlign w:val="bottom"/>
            <w:hideMark/>
          </w:tcPr>
          <w:p w14:paraId="4628B7EC" w14:textId="4D0D622A"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ΣΥΝΟΛΟ ΕΝΕΡΓΗΤΙΚΟΥ</w:t>
            </w:r>
          </w:p>
        </w:tc>
        <w:tc>
          <w:tcPr>
            <w:tcW w:w="270" w:type="dxa"/>
            <w:tcBorders>
              <w:top w:val="nil"/>
              <w:left w:val="nil"/>
              <w:bottom w:val="nil"/>
              <w:right w:val="nil"/>
            </w:tcBorders>
            <w:shd w:val="clear" w:color="000000" w:fill="FFFFFF"/>
            <w:noWrap/>
            <w:vAlign w:val="bottom"/>
          </w:tcPr>
          <w:p w14:paraId="2324BBB7"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5342334C" w14:textId="34054749"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898</w:t>
            </w:r>
            <w:r>
              <w:rPr>
                <w:rFonts w:ascii="Aptos" w:hAnsi="Aptos" w:cs="Calibri"/>
                <w:b/>
                <w:bCs/>
                <w:color w:val="000000"/>
                <w:sz w:val="20"/>
                <w:szCs w:val="20"/>
              </w:rPr>
              <w:t>.</w:t>
            </w:r>
            <w:r w:rsidRPr="0025770E">
              <w:rPr>
                <w:rFonts w:ascii="Aptos" w:hAnsi="Aptos" w:cs="Calibri"/>
                <w:b/>
                <w:bCs/>
                <w:color w:val="000000"/>
                <w:sz w:val="20"/>
                <w:szCs w:val="20"/>
              </w:rPr>
              <w:t>067</w:t>
            </w:r>
          </w:p>
        </w:tc>
        <w:tc>
          <w:tcPr>
            <w:tcW w:w="270" w:type="dxa"/>
            <w:tcBorders>
              <w:top w:val="nil"/>
              <w:left w:val="nil"/>
              <w:bottom w:val="nil"/>
              <w:right w:val="nil"/>
            </w:tcBorders>
            <w:noWrap/>
            <w:vAlign w:val="bottom"/>
            <w:hideMark/>
          </w:tcPr>
          <w:p w14:paraId="2DB6BFF4"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56EEC935" w14:textId="4A360906"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622</w:t>
            </w:r>
            <w:r>
              <w:rPr>
                <w:rFonts w:ascii="Aptos" w:hAnsi="Aptos" w:cs="Calibri"/>
                <w:b/>
                <w:bCs/>
                <w:color w:val="000000"/>
                <w:sz w:val="20"/>
                <w:szCs w:val="20"/>
              </w:rPr>
              <w:t>.</w:t>
            </w:r>
            <w:r w:rsidRPr="0025770E">
              <w:rPr>
                <w:rFonts w:ascii="Aptos" w:hAnsi="Aptos" w:cs="Calibri"/>
                <w:b/>
                <w:bCs/>
                <w:color w:val="000000"/>
                <w:sz w:val="20"/>
                <w:szCs w:val="20"/>
              </w:rPr>
              <w:t>588</w:t>
            </w:r>
          </w:p>
        </w:tc>
      </w:tr>
      <w:tr w:rsidR="00DF524F" w:rsidRPr="00BE5E19" w14:paraId="437F50CF" w14:textId="77777777" w:rsidTr="00DF524F">
        <w:trPr>
          <w:trHeight w:val="255"/>
        </w:trPr>
        <w:tc>
          <w:tcPr>
            <w:tcW w:w="6030" w:type="dxa"/>
            <w:tcBorders>
              <w:top w:val="nil"/>
              <w:left w:val="nil"/>
              <w:bottom w:val="nil"/>
              <w:right w:val="nil"/>
            </w:tcBorders>
            <w:noWrap/>
            <w:vAlign w:val="bottom"/>
            <w:hideMark/>
          </w:tcPr>
          <w:p w14:paraId="0D1F1DAF" w14:textId="46539FC8"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ΙΔΙΑ ΚΕΦΑΛΑΙΑ</w:t>
            </w:r>
          </w:p>
        </w:tc>
        <w:tc>
          <w:tcPr>
            <w:tcW w:w="270" w:type="dxa"/>
            <w:tcBorders>
              <w:top w:val="nil"/>
              <w:left w:val="nil"/>
              <w:bottom w:val="nil"/>
              <w:right w:val="nil"/>
            </w:tcBorders>
            <w:shd w:val="clear" w:color="000000" w:fill="FFFFFF"/>
            <w:noWrap/>
            <w:vAlign w:val="bottom"/>
          </w:tcPr>
          <w:p w14:paraId="7DC27B71"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29069916" w14:textId="3999D63E"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952</w:t>
            </w:r>
            <w:r>
              <w:rPr>
                <w:rFonts w:ascii="Aptos" w:hAnsi="Aptos" w:cs="Calibri"/>
                <w:b/>
                <w:bCs/>
                <w:color w:val="000000"/>
                <w:sz w:val="20"/>
                <w:szCs w:val="20"/>
              </w:rPr>
              <w:t>.</w:t>
            </w:r>
            <w:r w:rsidRPr="0025770E">
              <w:rPr>
                <w:rFonts w:ascii="Aptos" w:hAnsi="Aptos" w:cs="Calibri"/>
                <w:b/>
                <w:bCs/>
                <w:color w:val="000000"/>
                <w:sz w:val="20"/>
                <w:szCs w:val="20"/>
              </w:rPr>
              <w:t>211</w:t>
            </w:r>
          </w:p>
        </w:tc>
        <w:tc>
          <w:tcPr>
            <w:tcW w:w="270" w:type="dxa"/>
            <w:tcBorders>
              <w:top w:val="nil"/>
              <w:left w:val="nil"/>
              <w:bottom w:val="nil"/>
              <w:right w:val="nil"/>
            </w:tcBorders>
            <w:noWrap/>
            <w:vAlign w:val="bottom"/>
            <w:hideMark/>
          </w:tcPr>
          <w:p w14:paraId="7D2B9E5B"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nil"/>
              <w:right w:val="nil"/>
            </w:tcBorders>
            <w:noWrap/>
            <w:vAlign w:val="bottom"/>
            <w:hideMark/>
          </w:tcPr>
          <w:p w14:paraId="0D670033" w14:textId="5A05DDD5"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882</w:t>
            </w:r>
            <w:r>
              <w:rPr>
                <w:rFonts w:ascii="Aptos" w:hAnsi="Aptos" w:cs="Calibri"/>
                <w:b/>
                <w:bCs/>
                <w:color w:val="000000"/>
                <w:sz w:val="20"/>
                <w:szCs w:val="20"/>
              </w:rPr>
              <w:t>.</w:t>
            </w:r>
            <w:r w:rsidRPr="0025770E">
              <w:rPr>
                <w:rFonts w:ascii="Aptos" w:hAnsi="Aptos" w:cs="Calibri"/>
                <w:b/>
                <w:bCs/>
                <w:color w:val="000000"/>
                <w:sz w:val="20"/>
                <w:szCs w:val="20"/>
              </w:rPr>
              <w:t>281</w:t>
            </w:r>
          </w:p>
        </w:tc>
      </w:tr>
      <w:tr w:rsidR="00DF524F" w:rsidRPr="00BE5E19" w14:paraId="17834164" w14:textId="77777777" w:rsidTr="00DF524F">
        <w:trPr>
          <w:trHeight w:val="255"/>
        </w:trPr>
        <w:tc>
          <w:tcPr>
            <w:tcW w:w="6030" w:type="dxa"/>
            <w:tcBorders>
              <w:top w:val="nil"/>
              <w:left w:val="nil"/>
              <w:bottom w:val="nil"/>
              <w:right w:val="nil"/>
            </w:tcBorders>
            <w:noWrap/>
            <w:vAlign w:val="bottom"/>
            <w:hideMark/>
          </w:tcPr>
          <w:p w14:paraId="064BFC74" w14:textId="69C55C3B"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ΥΠΟΧΡΕΩΣΕΙΣ</w:t>
            </w:r>
          </w:p>
        </w:tc>
        <w:tc>
          <w:tcPr>
            <w:tcW w:w="270" w:type="dxa"/>
            <w:tcBorders>
              <w:top w:val="nil"/>
              <w:left w:val="nil"/>
              <w:bottom w:val="nil"/>
              <w:right w:val="nil"/>
            </w:tcBorders>
            <w:shd w:val="clear" w:color="000000" w:fill="FFFFFF"/>
            <w:noWrap/>
            <w:vAlign w:val="bottom"/>
          </w:tcPr>
          <w:p w14:paraId="2C20AD28"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7C9FA827" w14:textId="041981D9" w:rsidR="00DF524F" w:rsidRPr="0025770E" w:rsidRDefault="00DF524F" w:rsidP="00DF524F">
            <w:pPr>
              <w:spacing w:after="0" w:line="240" w:lineRule="auto"/>
              <w:jc w:val="right"/>
              <w:rPr>
                <w:rFonts w:ascii="Aptos" w:hAnsi="Aptos" w:cs="Calibri"/>
                <w:color w:val="000000"/>
                <w:sz w:val="20"/>
                <w:szCs w:val="20"/>
              </w:rPr>
            </w:pPr>
            <w:r w:rsidRPr="0025770E">
              <w:rPr>
                <w:rFonts w:ascii="Aptos" w:hAnsi="Aptos" w:cs="Calibri"/>
                <w:color w:val="000000"/>
                <w:sz w:val="20"/>
                <w:szCs w:val="20"/>
              </w:rPr>
              <w:t> </w:t>
            </w:r>
          </w:p>
        </w:tc>
        <w:tc>
          <w:tcPr>
            <w:tcW w:w="270" w:type="dxa"/>
            <w:tcBorders>
              <w:top w:val="nil"/>
              <w:left w:val="nil"/>
              <w:bottom w:val="nil"/>
              <w:right w:val="nil"/>
            </w:tcBorders>
            <w:noWrap/>
            <w:vAlign w:val="bottom"/>
            <w:hideMark/>
          </w:tcPr>
          <w:p w14:paraId="1402CB18" w14:textId="77777777" w:rsidR="00DF524F" w:rsidRPr="00BE5E19"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nil"/>
              <w:right w:val="nil"/>
            </w:tcBorders>
            <w:noWrap/>
            <w:vAlign w:val="bottom"/>
            <w:hideMark/>
          </w:tcPr>
          <w:p w14:paraId="4A3612FD" w14:textId="61971EBF" w:rsidR="00DF524F" w:rsidRPr="00BE5E19" w:rsidRDefault="00DF524F" w:rsidP="00DF524F">
            <w:pPr>
              <w:spacing w:after="0" w:line="240" w:lineRule="auto"/>
              <w:jc w:val="right"/>
              <w:rPr>
                <w:rFonts w:ascii="Aptos" w:eastAsia="Times New Roman" w:hAnsi="Aptos"/>
                <w:sz w:val="20"/>
                <w:szCs w:val="20"/>
                <w:lang w:val="en-GB"/>
              </w:rPr>
            </w:pPr>
          </w:p>
        </w:tc>
      </w:tr>
      <w:tr w:rsidR="00DF524F" w:rsidRPr="00BE5E19" w14:paraId="2578308D" w14:textId="77777777" w:rsidTr="00DF524F">
        <w:trPr>
          <w:trHeight w:val="255"/>
        </w:trPr>
        <w:tc>
          <w:tcPr>
            <w:tcW w:w="6030" w:type="dxa"/>
            <w:tcBorders>
              <w:top w:val="nil"/>
              <w:left w:val="nil"/>
              <w:bottom w:val="nil"/>
              <w:right w:val="nil"/>
            </w:tcBorders>
            <w:noWrap/>
            <w:vAlign w:val="bottom"/>
            <w:hideMark/>
          </w:tcPr>
          <w:p w14:paraId="217045C3" w14:textId="35BE7C1F"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Δάνεια</w:t>
            </w:r>
          </w:p>
        </w:tc>
        <w:tc>
          <w:tcPr>
            <w:tcW w:w="270" w:type="dxa"/>
            <w:tcBorders>
              <w:top w:val="nil"/>
              <w:left w:val="nil"/>
              <w:bottom w:val="nil"/>
              <w:right w:val="nil"/>
            </w:tcBorders>
            <w:shd w:val="clear" w:color="000000" w:fill="FFFFFF"/>
            <w:noWrap/>
            <w:vAlign w:val="bottom"/>
          </w:tcPr>
          <w:p w14:paraId="6B3118A9"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558C0EE5" w14:textId="1CA4214E"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205</w:t>
            </w:r>
            <w:r>
              <w:rPr>
                <w:rFonts w:ascii="Aptos" w:hAnsi="Aptos" w:cs="Calibri"/>
                <w:color w:val="000000"/>
                <w:sz w:val="20"/>
                <w:szCs w:val="20"/>
              </w:rPr>
              <w:t>.</w:t>
            </w:r>
            <w:r w:rsidRPr="00BE5E19">
              <w:rPr>
                <w:rFonts w:ascii="Aptos" w:hAnsi="Aptos" w:cs="Calibri"/>
                <w:color w:val="000000"/>
                <w:sz w:val="20"/>
                <w:szCs w:val="20"/>
              </w:rPr>
              <w:t>991</w:t>
            </w:r>
          </w:p>
        </w:tc>
        <w:tc>
          <w:tcPr>
            <w:tcW w:w="270" w:type="dxa"/>
            <w:tcBorders>
              <w:top w:val="nil"/>
              <w:left w:val="nil"/>
              <w:bottom w:val="nil"/>
              <w:right w:val="nil"/>
            </w:tcBorders>
            <w:noWrap/>
            <w:vAlign w:val="bottom"/>
            <w:hideMark/>
          </w:tcPr>
          <w:p w14:paraId="792438A3"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7D9DB00F" w14:textId="4EF963D6"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196</w:t>
            </w:r>
            <w:r>
              <w:rPr>
                <w:rFonts w:ascii="Aptos" w:hAnsi="Aptos" w:cs="Calibri"/>
                <w:color w:val="000000"/>
                <w:sz w:val="20"/>
                <w:szCs w:val="20"/>
              </w:rPr>
              <w:t>.</w:t>
            </w:r>
            <w:r w:rsidRPr="00BE5E19">
              <w:rPr>
                <w:rFonts w:ascii="Aptos" w:hAnsi="Aptos" w:cs="Calibri"/>
                <w:color w:val="000000"/>
                <w:sz w:val="20"/>
                <w:szCs w:val="20"/>
              </w:rPr>
              <w:t>372</w:t>
            </w:r>
          </w:p>
        </w:tc>
      </w:tr>
      <w:tr w:rsidR="00DF524F" w:rsidRPr="00BE5E19" w14:paraId="4CB00E34" w14:textId="77777777" w:rsidTr="00DF524F">
        <w:trPr>
          <w:trHeight w:val="255"/>
        </w:trPr>
        <w:tc>
          <w:tcPr>
            <w:tcW w:w="6030" w:type="dxa"/>
            <w:tcBorders>
              <w:top w:val="nil"/>
              <w:left w:val="nil"/>
              <w:bottom w:val="nil"/>
              <w:right w:val="nil"/>
            </w:tcBorders>
            <w:noWrap/>
            <w:vAlign w:val="bottom"/>
          </w:tcPr>
          <w:p w14:paraId="0EEB69DE" w14:textId="5EA9956A"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Υποχρεώσεις από μισθώσεις</w:t>
            </w:r>
          </w:p>
        </w:tc>
        <w:tc>
          <w:tcPr>
            <w:tcW w:w="270" w:type="dxa"/>
            <w:tcBorders>
              <w:top w:val="nil"/>
              <w:left w:val="nil"/>
              <w:bottom w:val="nil"/>
              <w:right w:val="nil"/>
            </w:tcBorders>
            <w:shd w:val="clear" w:color="000000" w:fill="FFFFFF"/>
            <w:noWrap/>
            <w:vAlign w:val="bottom"/>
          </w:tcPr>
          <w:p w14:paraId="7849188D"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273FCE30" w14:textId="5E9AE7B1"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9</w:t>
            </w:r>
            <w:r>
              <w:rPr>
                <w:rFonts w:ascii="Aptos" w:hAnsi="Aptos" w:cs="Calibri"/>
                <w:color w:val="000000"/>
                <w:sz w:val="20"/>
                <w:szCs w:val="20"/>
              </w:rPr>
              <w:t>.</w:t>
            </w:r>
            <w:r w:rsidRPr="00BE5E19">
              <w:rPr>
                <w:rFonts w:ascii="Aptos" w:hAnsi="Aptos" w:cs="Calibri"/>
                <w:color w:val="000000"/>
                <w:sz w:val="20"/>
                <w:szCs w:val="20"/>
              </w:rPr>
              <w:t>003</w:t>
            </w:r>
          </w:p>
        </w:tc>
        <w:tc>
          <w:tcPr>
            <w:tcW w:w="270" w:type="dxa"/>
            <w:tcBorders>
              <w:top w:val="nil"/>
              <w:left w:val="nil"/>
              <w:bottom w:val="nil"/>
              <w:right w:val="nil"/>
            </w:tcBorders>
            <w:noWrap/>
            <w:vAlign w:val="bottom"/>
          </w:tcPr>
          <w:p w14:paraId="55D5CFBE"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tcPr>
          <w:p w14:paraId="068F90BB" w14:textId="22A97AE3"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8</w:t>
            </w:r>
            <w:r>
              <w:rPr>
                <w:rFonts w:ascii="Aptos" w:hAnsi="Aptos" w:cs="Calibri"/>
                <w:color w:val="000000"/>
                <w:sz w:val="20"/>
                <w:szCs w:val="20"/>
              </w:rPr>
              <w:t>.</w:t>
            </w:r>
            <w:r w:rsidRPr="00BE5E19">
              <w:rPr>
                <w:rFonts w:ascii="Aptos" w:hAnsi="Aptos" w:cs="Calibri"/>
                <w:color w:val="000000"/>
                <w:sz w:val="20"/>
                <w:szCs w:val="20"/>
              </w:rPr>
              <w:t>935</w:t>
            </w:r>
          </w:p>
        </w:tc>
      </w:tr>
      <w:tr w:rsidR="00DF524F" w:rsidRPr="00BE5E19" w14:paraId="05664D8A" w14:textId="77777777" w:rsidTr="00DF524F">
        <w:trPr>
          <w:trHeight w:val="255"/>
        </w:trPr>
        <w:tc>
          <w:tcPr>
            <w:tcW w:w="6030" w:type="dxa"/>
            <w:tcBorders>
              <w:top w:val="nil"/>
              <w:left w:val="nil"/>
              <w:bottom w:val="nil"/>
              <w:right w:val="nil"/>
            </w:tcBorders>
            <w:noWrap/>
            <w:vAlign w:val="bottom"/>
            <w:hideMark/>
          </w:tcPr>
          <w:p w14:paraId="191DCA8B" w14:textId="69827209"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Αναβαλλόμενες φορολογικές υποχρεώσεις</w:t>
            </w:r>
          </w:p>
        </w:tc>
        <w:tc>
          <w:tcPr>
            <w:tcW w:w="270" w:type="dxa"/>
            <w:tcBorders>
              <w:top w:val="nil"/>
              <w:left w:val="nil"/>
              <w:bottom w:val="nil"/>
              <w:right w:val="nil"/>
            </w:tcBorders>
            <w:shd w:val="clear" w:color="000000" w:fill="FFFFFF"/>
            <w:noWrap/>
            <w:vAlign w:val="bottom"/>
          </w:tcPr>
          <w:p w14:paraId="26EFEE52"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5D967FA0" w14:textId="50C1539B"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71</w:t>
            </w:r>
            <w:r>
              <w:rPr>
                <w:rFonts w:ascii="Aptos" w:hAnsi="Aptos" w:cs="Calibri"/>
                <w:color w:val="000000"/>
                <w:sz w:val="20"/>
                <w:szCs w:val="20"/>
              </w:rPr>
              <w:t>.</w:t>
            </w:r>
            <w:r w:rsidRPr="00BE5E19">
              <w:rPr>
                <w:rFonts w:ascii="Aptos" w:hAnsi="Aptos" w:cs="Calibri"/>
                <w:color w:val="000000"/>
                <w:sz w:val="20"/>
                <w:szCs w:val="20"/>
              </w:rPr>
              <w:t>073</w:t>
            </w:r>
          </w:p>
        </w:tc>
        <w:tc>
          <w:tcPr>
            <w:tcW w:w="270" w:type="dxa"/>
            <w:tcBorders>
              <w:top w:val="nil"/>
              <w:left w:val="nil"/>
              <w:bottom w:val="nil"/>
              <w:right w:val="nil"/>
            </w:tcBorders>
            <w:noWrap/>
            <w:vAlign w:val="bottom"/>
            <w:hideMark/>
          </w:tcPr>
          <w:p w14:paraId="71AB1409"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4B2C8139" w14:textId="4BABF837"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76</w:t>
            </w:r>
            <w:r>
              <w:rPr>
                <w:rFonts w:ascii="Aptos" w:hAnsi="Aptos" w:cs="Calibri"/>
                <w:color w:val="000000"/>
                <w:sz w:val="20"/>
                <w:szCs w:val="20"/>
              </w:rPr>
              <w:t>.</w:t>
            </w:r>
            <w:r w:rsidRPr="00BE5E19">
              <w:rPr>
                <w:rFonts w:ascii="Aptos" w:hAnsi="Aptos" w:cs="Calibri"/>
                <w:color w:val="000000"/>
                <w:sz w:val="20"/>
                <w:szCs w:val="20"/>
              </w:rPr>
              <w:t>031</w:t>
            </w:r>
          </w:p>
        </w:tc>
      </w:tr>
      <w:tr w:rsidR="00DF524F" w:rsidRPr="00BE5E19" w14:paraId="52C82780" w14:textId="77777777" w:rsidTr="00DF524F">
        <w:trPr>
          <w:trHeight w:val="270"/>
        </w:trPr>
        <w:tc>
          <w:tcPr>
            <w:tcW w:w="6030" w:type="dxa"/>
            <w:tcBorders>
              <w:top w:val="nil"/>
              <w:left w:val="nil"/>
              <w:bottom w:val="single" w:sz="8" w:space="0" w:color="4F6228"/>
              <w:right w:val="nil"/>
            </w:tcBorders>
            <w:noWrap/>
            <w:vAlign w:val="bottom"/>
            <w:hideMark/>
          </w:tcPr>
          <w:p w14:paraId="40B954D7" w14:textId="434094B7"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Λοιπές μακροπρόθεσμες υποχρεώσεις</w:t>
            </w:r>
          </w:p>
        </w:tc>
        <w:tc>
          <w:tcPr>
            <w:tcW w:w="270" w:type="dxa"/>
            <w:tcBorders>
              <w:top w:val="nil"/>
              <w:left w:val="nil"/>
              <w:bottom w:val="nil"/>
              <w:right w:val="nil"/>
            </w:tcBorders>
            <w:shd w:val="clear" w:color="000000" w:fill="FFFFFF"/>
            <w:noWrap/>
            <w:vAlign w:val="bottom"/>
          </w:tcPr>
          <w:p w14:paraId="20F88E4E"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7A7803C6" w14:textId="64DA4893"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18</w:t>
            </w:r>
            <w:r>
              <w:rPr>
                <w:rFonts w:ascii="Aptos" w:hAnsi="Aptos" w:cs="Calibri"/>
                <w:color w:val="000000"/>
                <w:sz w:val="20"/>
                <w:szCs w:val="20"/>
              </w:rPr>
              <w:t>.</w:t>
            </w:r>
            <w:r w:rsidRPr="00BE5E19">
              <w:rPr>
                <w:rFonts w:ascii="Aptos" w:hAnsi="Aptos" w:cs="Calibri"/>
                <w:color w:val="000000"/>
                <w:sz w:val="20"/>
                <w:szCs w:val="20"/>
              </w:rPr>
              <w:t>273</w:t>
            </w:r>
          </w:p>
        </w:tc>
        <w:tc>
          <w:tcPr>
            <w:tcW w:w="270" w:type="dxa"/>
            <w:tcBorders>
              <w:top w:val="nil"/>
              <w:left w:val="nil"/>
              <w:bottom w:val="nil"/>
              <w:right w:val="nil"/>
            </w:tcBorders>
            <w:noWrap/>
            <w:vAlign w:val="bottom"/>
            <w:hideMark/>
          </w:tcPr>
          <w:p w14:paraId="6935C108"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single" w:sz="8" w:space="0" w:color="4F6228"/>
              <w:right w:val="nil"/>
            </w:tcBorders>
            <w:noWrap/>
            <w:vAlign w:val="bottom"/>
            <w:hideMark/>
          </w:tcPr>
          <w:p w14:paraId="4E3B44B8" w14:textId="7C321363"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18</w:t>
            </w:r>
            <w:r>
              <w:rPr>
                <w:rFonts w:ascii="Aptos" w:hAnsi="Aptos" w:cs="Calibri"/>
                <w:color w:val="000000"/>
                <w:sz w:val="20"/>
                <w:szCs w:val="20"/>
              </w:rPr>
              <w:t>.</w:t>
            </w:r>
            <w:r w:rsidRPr="00BE5E19">
              <w:rPr>
                <w:rFonts w:ascii="Aptos" w:hAnsi="Aptos" w:cs="Calibri"/>
                <w:color w:val="000000"/>
                <w:sz w:val="20"/>
                <w:szCs w:val="20"/>
              </w:rPr>
              <w:t>613</w:t>
            </w:r>
          </w:p>
        </w:tc>
      </w:tr>
      <w:tr w:rsidR="00DF524F" w:rsidRPr="00BE5E19" w14:paraId="0B37B778" w14:textId="77777777" w:rsidTr="00DF524F">
        <w:trPr>
          <w:trHeight w:val="270"/>
        </w:trPr>
        <w:tc>
          <w:tcPr>
            <w:tcW w:w="6030" w:type="dxa"/>
            <w:tcBorders>
              <w:top w:val="nil"/>
              <w:left w:val="nil"/>
              <w:bottom w:val="single" w:sz="8" w:space="0" w:color="4F6228"/>
              <w:right w:val="nil"/>
            </w:tcBorders>
            <w:noWrap/>
            <w:vAlign w:val="bottom"/>
            <w:hideMark/>
          </w:tcPr>
          <w:p w14:paraId="63A03F7A" w14:textId="5C332525"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Μακροπρόθεσμες υποχρεώσεις</w:t>
            </w:r>
          </w:p>
        </w:tc>
        <w:tc>
          <w:tcPr>
            <w:tcW w:w="270" w:type="dxa"/>
            <w:tcBorders>
              <w:top w:val="nil"/>
              <w:left w:val="nil"/>
              <w:bottom w:val="nil"/>
              <w:right w:val="nil"/>
            </w:tcBorders>
            <w:shd w:val="clear" w:color="000000" w:fill="FFFFFF"/>
            <w:noWrap/>
            <w:vAlign w:val="bottom"/>
          </w:tcPr>
          <w:p w14:paraId="15B00D54"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1DFC1979" w14:textId="33C0950A"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304</w:t>
            </w:r>
            <w:r>
              <w:rPr>
                <w:rFonts w:ascii="Aptos" w:hAnsi="Aptos" w:cs="Calibri"/>
                <w:b/>
                <w:bCs/>
                <w:color w:val="000000"/>
                <w:sz w:val="20"/>
                <w:szCs w:val="20"/>
              </w:rPr>
              <w:t>.</w:t>
            </w:r>
            <w:r w:rsidRPr="0025770E">
              <w:rPr>
                <w:rFonts w:ascii="Aptos" w:hAnsi="Aptos" w:cs="Calibri"/>
                <w:b/>
                <w:bCs/>
                <w:color w:val="000000"/>
                <w:sz w:val="20"/>
                <w:szCs w:val="20"/>
              </w:rPr>
              <w:t>340</w:t>
            </w:r>
          </w:p>
        </w:tc>
        <w:tc>
          <w:tcPr>
            <w:tcW w:w="270" w:type="dxa"/>
            <w:tcBorders>
              <w:top w:val="nil"/>
              <w:left w:val="nil"/>
              <w:bottom w:val="nil"/>
              <w:right w:val="nil"/>
            </w:tcBorders>
            <w:noWrap/>
            <w:vAlign w:val="bottom"/>
            <w:hideMark/>
          </w:tcPr>
          <w:p w14:paraId="6B69F525"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5AEE8380" w14:textId="3E8569C8"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299</w:t>
            </w:r>
            <w:r>
              <w:rPr>
                <w:rFonts w:ascii="Aptos" w:hAnsi="Aptos" w:cs="Calibri"/>
                <w:b/>
                <w:bCs/>
                <w:color w:val="000000"/>
                <w:sz w:val="20"/>
                <w:szCs w:val="20"/>
              </w:rPr>
              <w:t>.</w:t>
            </w:r>
            <w:r w:rsidRPr="0025770E">
              <w:rPr>
                <w:rFonts w:ascii="Aptos" w:hAnsi="Aptos" w:cs="Calibri"/>
                <w:b/>
                <w:bCs/>
                <w:color w:val="000000"/>
                <w:sz w:val="20"/>
                <w:szCs w:val="20"/>
              </w:rPr>
              <w:t>951</w:t>
            </w:r>
          </w:p>
        </w:tc>
      </w:tr>
      <w:tr w:rsidR="00DF524F" w:rsidRPr="00BE5E19" w14:paraId="5397B392" w14:textId="77777777" w:rsidTr="00DF524F">
        <w:trPr>
          <w:trHeight w:val="255"/>
        </w:trPr>
        <w:tc>
          <w:tcPr>
            <w:tcW w:w="6030" w:type="dxa"/>
            <w:tcBorders>
              <w:top w:val="nil"/>
              <w:left w:val="nil"/>
              <w:bottom w:val="nil"/>
              <w:right w:val="nil"/>
            </w:tcBorders>
            <w:noWrap/>
            <w:vAlign w:val="bottom"/>
            <w:hideMark/>
          </w:tcPr>
          <w:p w14:paraId="738634A2" w14:textId="71CC6552"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Δάνεια</w:t>
            </w:r>
          </w:p>
        </w:tc>
        <w:tc>
          <w:tcPr>
            <w:tcW w:w="270" w:type="dxa"/>
            <w:tcBorders>
              <w:top w:val="nil"/>
              <w:left w:val="nil"/>
              <w:bottom w:val="nil"/>
              <w:right w:val="nil"/>
            </w:tcBorders>
            <w:shd w:val="clear" w:color="000000" w:fill="FFFFFF"/>
            <w:noWrap/>
            <w:vAlign w:val="bottom"/>
          </w:tcPr>
          <w:p w14:paraId="7E9E13F9"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117131AB" w14:textId="0B204CE0"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495</w:t>
            </w:r>
            <w:r>
              <w:rPr>
                <w:rFonts w:ascii="Aptos" w:hAnsi="Aptos" w:cs="Calibri"/>
                <w:color w:val="000000"/>
                <w:sz w:val="20"/>
                <w:szCs w:val="20"/>
              </w:rPr>
              <w:t>.</w:t>
            </w:r>
            <w:r w:rsidRPr="00BE5E19">
              <w:rPr>
                <w:rFonts w:ascii="Aptos" w:hAnsi="Aptos" w:cs="Calibri"/>
                <w:color w:val="000000"/>
                <w:sz w:val="20"/>
                <w:szCs w:val="20"/>
              </w:rPr>
              <w:t>970</w:t>
            </w:r>
          </w:p>
        </w:tc>
        <w:tc>
          <w:tcPr>
            <w:tcW w:w="270" w:type="dxa"/>
            <w:tcBorders>
              <w:top w:val="nil"/>
              <w:left w:val="nil"/>
              <w:bottom w:val="nil"/>
              <w:right w:val="nil"/>
            </w:tcBorders>
            <w:noWrap/>
            <w:vAlign w:val="bottom"/>
            <w:hideMark/>
          </w:tcPr>
          <w:p w14:paraId="3E8B2A7D"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7BE9CE2E" w14:textId="413E3363"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437</w:t>
            </w:r>
            <w:r>
              <w:rPr>
                <w:rFonts w:ascii="Aptos" w:hAnsi="Aptos" w:cs="Calibri"/>
                <w:color w:val="000000"/>
                <w:sz w:val="20"/>
                <w:szCs w:val="20"/>
              </w:rPr>
              <w:t>.</w:t>
            </w:r>
            <w:r w:rsidRPr="00BE5E19">
              <w:rPr>
                <w:rFonts w:ascii="Aptos" w:hAnsi="Aptos" w:cs="Calibri"/>
                <w:color w:val="000000"/>
                <w:sz w:val="20"/>
                <w:szCs w:val="20"/>
              </w:rPr>
              <w:t>264</w:t>
            </w:r>
          </w:p>
        </w:tc>
      </w:tr>
      <w:tr w:rsidR="00DF524F" w:rsidRPr="00BE5E19" w14:paraId="5B891CDE" w14:textId="77777777" w:rsidTr="00DF524F">
        <w:trPr>
          <w:trHeight w:val="255"/>
        </w:trPr>
        <w:tc>
          <w:tcPr>
            <w:tcW w:w="6030" w:type="dxa"/>
            <w:tcBorders>
              <w:top w:val="nil"/>
              <w:left w:val="nil"/>
              <w:bottom w:val="nil"/>
              <w:right w:val="nil"/>
            </w:tcBorders>
            <w:noWrap/>
            <w:vAlign w:val="bottom"/>
          </w:tcPr>
          <w:p w14:paraId="7DD0C16D" w14:textId="4BACDD67"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Υποχρεώσεις από μισθώσεις</w:t>
            </w:r>
          </w:p>
        </w:tc>
        <w:tc>
          <w:tcPr>
            <w:tcW w:w="270" w:type="dxa"/>
            <w:tcBorders>
              <w:top w:val="nil"/>
              <w:left w:val="nil"/>
              <w:bottom w:val="nil"/>
              <w:right w:val="nil"/>
            </w:tcBorders>
            <w:shd w:val="clear" w:color="000000" w:fill="FFFFFF"/>
            <w:noWrap/>
            <w:vAlign w:val="bottom"/>
          </w:tcPr>
          <w:p w14:paraId="4C996730"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34186831" w14:textId="21975C5A"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4</w:t>
            </w:r>
            <w:r>
              <w:rPr>
                <w:rFonts w:ascii="Aptos" w:hAnsi="Aptos" w:cs="Calibri"/>
                <w:color w:val="000000"/>
                <w:sz w:val="20"/>
                <w:szCs w:val="20"/>
              </w:rPr>
              <w:t>.</w:t>
            </w:r>
            <w:r w:rsidRPr="00BE5E19">
              <w:rPr>
                <w:rFonts w:ascii="Aptos" w:hAnsi="Aptos" w:cs="Calibri"/>
                <w:color w:val="000000"/>
                <w:sz w:val="20"/>
                <w:szCs w:val="20"/>
              </w:rPr>
              <w:t>235</w:t>
            </w:r>
          </w:p>
        </w:tc>
        <w:tc>
          <w:tcPr>
            <w:tcW w:w="270" w:type="dxa"/>
            <w:tcBorders>
              <w:top w:val="nil"/>
              <w:left w:val="nil"/>
              <w:bottom w:val="nil"/>
              <w:right w:val="nil"/>
            </w:tcBorders>
            <w:noWrap/>
            <w:vAlign w:val="bottom"/>
          </w:tcPr>
          <w:p w14:paraId="2761EBC8"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tcPr>
          <w:p w14:paraId="729F122C" w14:textId="4194BB50"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3</w:t>
            </w:r>
            <w:r>
              <w:rPr>
                <w:rFonts w:ascii="Aptos" w:hAnsi="Aptos" w:cs="Calibri"/>
                <w:color w:val="000000"/>
                <w:sz w:val="20"/>
                <w:szCs w:val="20"/>
              </w:rPr>
              <w:t>.</w:t>
            </w:r>
            <w:r w:rsidRPr="00BE5E19">
              <w:rPr>
                <w:rFonts w:ascii="Aptos" w:hAnsi="Aptos" w:cs="Calibri"/>
                <w:color w:val="000000"/>
                <w:sz w:val="20"/>
                <w:szCs w:val="20"/>
              </w:rPr>
              <w:t>790</w:t>
            </w:r>
          </w:p>
        </w:tc>
      </w:tr>
      <w:tr w:rsidR="00DF524F" w:rsidRPr="00BE5E19" w14:paraId="682D13F7" w14:textId="77777777" w:rsidTr="00DF524F">
        <w:trPr>
          <w:trHeight w:val="255"/>
        </w:trPr>
        <w:tc>
          <w:tcPr>
            <w:tcW w:w="6030" w:type="dxa"/>
            <w:tcBorders>
              <w:top w:val="nil"/>
              <w:left w:val="nil"/>
              <w:bottom w:val="nil"/>
              <w:right w:val="nil"/>
            </w:tcBorders>
            <w:noWrap/>
            <w:vAlign w:val="bottom"/>
            <w:hideMark/>
          </w:tcPr>
          <w:p w14:paraId="3625464B" w14:textId="1737BB92"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Εμπορικές και λοιπές υποχρεώσεις</w:t>
            </w:r>
          </w:p>
        </w:tc>
        <w:tc>
          <w:tcPr>
            <w:tcW w:w="270" w:type="dxa"/>
            <w:tcBorders>
              <w:top w:val="nil"/>
              <w:left w:val="nil"/>
              <w:bottom w:val="nil"/>
              <w:right w:val="nil"/>
            </w:tcBorders>
            <w:shd w:val="clear" w:color="000000" w:fill="FFFFFF"/>
            <w:noWrap/>
            <w:vAlign w:val="bottom"/>
          </w:tcPr>
          <w:p w14:paraId="4F067653"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45F62824" w14:textId="1CB5F06A" w:rsidR="00DF524F" w:rsidRPr="0025770E" w:rsidRDefault="00DF524F" w:rsidP="00DF524F">
            <w:pPr>
              <w:spacing w:after="0" w:line="240" w:lineRule="auto"/>
              <w:jc w:val="right"/>
              <w:rPr>
                <w:rFonts w:ascii="Aptos" w:hAnsi="Aptos" w:cs="Calibri"/>
                <w:color w:val="000000"/>
                <w:sz w:val="20"/>
                <w:szCs w:val="20"/>
              </w:rPr>
            </w:pPr>
            <w:r w:rsidRPr="000B2773">
              <w:rPr>
                <w:rFonts w:ascii="Aptos" w:hAnsi="Aptos" w:cs="Calibri"/>
                <w:color w:val="000000"/>
                <w:sz w:val="20"/>
                <w:szCs w:val="20"/>
              </w:rPr>
              <w:t>863</w:t>
            </w:r>
            <w:r>
              <w:rPr>
                <w:rFonts w:ascii="Aptos" w:hAnsi="Aptos" w:cs="Calibri"/>
                <w:color w:val="000000"/>
                <w:sz w:val="20"/>
                <w:szCs w:val="20"/>
              </w:rPr>
              <w:t>.</w:t>
            </w:r>
            <w:r w:rsidRPr="000B2773">
              <w:rPr>
                <w:rFonts w:ascii="Aptos" w:hAnsi="Aptos" w:cs="Calibri"/>
                <w:color w:val="000000"/>
                <w:sz w:val="20"/>
                <w:szCs w:val="20"/>
              </w:rPr>
              <w:t>148</w:t>
            </w:r>
          </w:p>
        </w:tc>
        <w:tc>
          <w:tcPr>
            <w:tcW w:w="270" w:type="dxa"/>
            <w:tcBorders>
              <w:top w:val="nil"/>
              <w:left w:val="nil"/>
              <w:bottom w:val="nil"/>
              <w:right w:val="nil"/>
            </w:tcBorders>
            <w:noWrap/>
            <w:vAlign w:val="bottom"/>
            <w:hideMark/>
          </w:tcPr>
          <w:p w14:paraId="0F6ECCB1"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28AF4D16" w14:textId="71A4398C"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741</w:t>
            </w:r>
            <w:r>
              <w:rPr>
                <w:rFonts w:ascii="Aptos" w:hAnsi="Aptos" w:cs="Calibri"/>
                <w:color w:val="000000"/>
                <w:sz w:val="20"/>
                <w:szCs w:val="20"/>
              </w:rPr>
              <w:t>.</w:t>
            </w:r>
            <w:r w:rsidRPr="00BE5E19">
              <w:rPr>
                <w:rFonts w:ascii="Aptos" w:hAnsi="Aptos" w:cs="Calibri"/>
                <w:color w:val="000000"/>
                <w:sz w:val="20"/>
                <w:szCs w:val="20"/>
              </w:rPr>
              <w:t>824</w:t>
            </w:r>
          </w:p>
        </w:tc>
      </w:tr>
      <w:tr w:rsidR="00DF524F" w:rsidRPr="00BE5E19" w14:paraId="0B3044A7" w14:textId="77777777" w:rsidTr="00DF524F">
        <w:trPr>
          <w:trHeight w:val="255"/>
        </w:trPr>
        <w:tc>
          <w:tcPr>
            <w:tcW w:w="6030" w:type="dxa"/>
            <w:tcBorders>
              <w:top w:val="nil"/>
              <w:left w:val="nil"/>
              <w:bottom w:val="nil"/>
              <w:right w:val="nil"/>
            </w:tcBorders>
            <w:noWrap/>
            <w:vAlign w:val="bottom"/>
            <w:hideMark/>
          </w:tcPr>
          <w:p w14:paraId="2463D5CE" w14:textId="7D930F75"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Συμβατικές υποχρεώσεις</w:t>
            </w:r>
          </w:p>
        </w:tc>
        <w:tc>
          <w:tcPr>
            <w:tcW w:w="270" w:type="dxa"/>
            <w:tcBorders>
              <w:top w:val="nil"/>
              <w:left w:val="nil"/>
              <w:bottom w:val="nil"/>
              <w:right w:val="nil"/>
            </w:tcBorders>
            <w:shd w:val="clear" w:color="000000" w:fill="FFFFFF"/>
            <w:noWrap/>
            <w:vAlign w:val="bottom"/>
          </w:tcPr>
          <w:p w14:paraId="250E08F8"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nil"/>
              <w:right w:val="nil"/>
            </w:tcBorders>
            <w:shd w:val="clear" w:color="000000" w:fill="D8E4BC"/>
            <w:noWrap/>
            <w:vAlign w:val="bottom"/>
          </w:tcPr>
          <w:p w14:paraId="267AD05C" w14:textId="2006E2DC"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222</w:t>
            </w:r>
            <w:r>
              <w:rPr>
                <w:rFonts w:ascii="Aptos" w:hAnsi="Aptos" w:cs="Calibri"/>
                <w:color w:val="000000"/>
                <w:sz w:val="20"/>
                <w:szCs w:val="20"/>
              </w:rPr>
              <w:t>.</w:t>
            </w:r>
            <w:r w:rsidRPr="00BE5E19">
              <w:rPr>
                <w:rFonts w:ascii="Aptos" w:hAnsi="Aptos" w:cs="Calibri"/>
                <w:color w:val="000000"/>
                <w:sz w:val="20"/>
                <w:szCs w:val="20"/>
              </w:rPr>
              <w:t>711</w:t>
            </w:r>
          </w:p>
        </w:tc>
        <w:tc>
          <w:tcPr>
            <w:tcW w:w="270" w:type="dxa"/>
            <w:tcBorders>
              <w:top w:val="nil"/>
              <w:left w:val="nil"/>
              <w:bottom w:val="nil"/>
              <w:right w:val="nil"/>
            </w:tcBorders>
            <w:noWrap/>
            <w:vAlign w:val="bottom"/>
            <w:hideMark/>
          </w:tcPr>
          <w:p w14:paraId="50983116"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nil"/>
              <w:right w:val="nil"/>
            </w:tcBorders>
            <w:noWrap/>
            <w:vAlign w:val="bottom"/>
            <w:hideMark/>
          </w:tcPr>
          <w:p w14:paraId="79A006C2" w14:textId="7F14310D"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208</w:t>
            </w:r>
            <w:r>
              <w:rPr>
                <w:rFonts w:ascii="Aptos" w:hAnsi="Aptos" w:cs="Calibri"/>
                <w:color w:val="000000"/>
                <w:sz w:val="20"/>
                <w:szCs w:val="20"/>
              </w:rPr>
              <w:t>.</w:t>
            </w:r>
            <w:r w:rsidRPr="00BE5E19">
              <w:rPr>
                <w:rFonts w:ascii="Aptos" w:hAnsi="Aptos" w:cs="Calibri"/>
                <w:color w:val="000000"/>
                <w:sz w:val="20"/>
                <w:szCs w:val="20"/>
              </w:rPr>
              <w:t>018</w:t>
            </w:r>
          </w:p>
        </w:tc>
      </w:tr>
      <w:tr w:rsidR="00DF524F" w:rsidRPr="00BE5E19" w14:paraId="35C8816D" w14:textId="77777777" w:rsidTr="00DF524F">
        <w:trPr>
          <w:trHeight w:val="270"/>
        </w:trPr>
        <w:tc>
          <w:tcPr>
            <w:tcW w:w="6030" w:type="dxa"/>
            <w:tcBorders>
              <w:top w:val="nil"/>
              <w:left w:val="nil"/>
              <w:bottom w:val="single" w:sz="8" w:space="0" w:color="4F6228"/>
              <w:right w:val="nil"/>
            </w:tcBorders>
            <w:noWrap/>
            <w:vAlign w:val="bottom"/>
            <w:hideMark/>
          </w:tcPr>
          <w:p w14:paraId="55C67E07" w14:textId="5918BF27" w:rsidR="00DF524F" w:rsidRPr="00BE5E19" w:rsidRDefault="00DF524F" w:rsidP="00DF524F">
            <w:pPr>
              <w:spacing w:after="0" w:line="240" w:lineRule="auto"/>
              <w:rPr>
                <w:rFonts w:ascii="Aptos" w:eastAsia="Times New Roman" w:hAnsi="Aptos" w:cs="Calibri"/>
                <w:color w:val="000000"/>
                <w:sz w:val="20"/>
                <w:szCs w:val="20"/>
                <w:lang w:val="en-GB"/>
              </w:rPr>
            </w:pPr>
            <w:r w:rsidRPr="005460AF">
              <w:rPr>
                <w:rFonts w:eastAsia="MS Mincho"/>
                <w:color w:val="000000"/>
                <w:sz w:val="20"/>
                <w:szCs w:val="24"/>
              </w:rPr>
              <w:t>Λοιπές βραχυπρόθεσμες υποχρεώσεις</w:t>
            </w:r>
          </w:p>
        </w:tc>
        <w:tc>
          <w:tcPr>
            <w:tcW w:w="270" w:type="dxa"/>
            <w:tcBorders>
              <w:top w:val="nil"/>
              <w:left w:val="nil"/>
              <w:bottom w:val="nil"/>
              <w:right w:val="nil"/>
            </w:tcBorders>
            <w:shd w:val="clear" w:color="000000" w:fill="FFFFFF"/>
            <w:noWrap/>
            <w:vAlign w:val="bottom"/>
          </w:tcPr>
          <w:p w14:paraId="3ADDB7B2"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66DD09BE" w14:textId="1B761ECC" w:rsidR="00DF524F" w:rsidRPr="0025770E" w:rsidRDefault="00DF524F" w:rsidP="00DF524F">
            <w:pPr>
              <w:spacing w:after="0" w:line="240" w:lineRule="auto"/>
              <w:jc w:val="right"/>
              <w:rPr>
                <w:rFonts w:ascii="Aptos" w:hAnsi="Aptos" w:cs="Calibri"/>
                <w:color w:val="000000"/>
                <w:sz w:val="20"/>
                <w:szCs w:val="20"/>
              </w:rPr>
            </w:pPr>
            <w:r w:rsidRPr="00BE5E19">
              <w:rPr>
                <w:rFonts w:ascii="Aptos" w:hAnsi="Aptos" w:cs="Calibri"/>
                <w:color w:val="000000"/>
                <w:sz w:val="20"/>
                <w:szCs w:val="20"/>
              </w:rPr>
              <w:t>55</w:t>
            </w:r>
            <w:r>
              <w:rPr>
                <w:rFonts w:ascii="Aptos" w:hAnsi="Aptos" w:cs="Calibri"/>
                <w:color w:val="000000"/>
                <w:sz w:val="20"/>
                <w:szCs w:val="20"/>
              </w:rPr>
              <w:t>.</w:t>
            </w:r>
            <w:r w:rsidRPr="00BE5E19">
              <w:rPr>
                <w:rFonts w:ascii="Aptos" w:hAnsi="Aptos" w:cs="Calibri"/>
                <w:color w:val="000000"/>
                <w:sz w:val="20"/>
                <w:szCs w:val="20"/>
              </w:rPr>
              <w:t>452</w:t>
            </w:r>
          </w:p>
        </w:tc>
        <w:tc>
          <w:tcPr>
            <w:tcW w:w="270" w:type="dxa"/>
            <w:tcBorders>
              <w:top w:val="nil"/>
              <w:left w:val="nil"/>
              <w:bottom w:val="nil"/>
              <w:right w:val="nil"/>
            </w:tcBorders>
            <w:noWrap/>
            <w:vAlign w:val="bottom"/>
            <w:hideMark/>
          </w:tcPr>
          <w:p w14:paraId="48CBB54F" w14:textId="77777777" w:rsidR="00DF524F" w:rsidRPr="00BE5E19" w:rsidRDefault="00DF524F" w:rsidP="00DF524F">
            <w:pPr>
              <w:spacing w:after="0" w:line="240" w:lineRule="auto"/>
              <w:jc w:val="right"/>
              <w:rPr>
                <w:rFonts w:ascii="Aptos" w:eastAsia="Times New Roman" w:hAnsi="Aptos" w:cs="Calibri"/>
                <w:color w:val="000000"/>
                <w:sz w:val="20"/>
                <w:szCs w:val="20"/>
                <w:lang w:val="en-GB"/>
              </w:rPr>
            </w:pPr>
          </w:p>
        </w:tc>
        <w:tc>
          <w:tcPr>
            <w:tcW w:w="1620" w:type="dxa"/>
            <w:tcBorders>
              <w:top w:val="nil"/>
              <w:left w:val="nil"/>
              <w:bottom w:val="single" w:sz="8" w:space="0" w:color="4F6228"/>
              <w:right w:val="nil"/>
            </w:tcBorders>
            <w:noWrap/>
            <w:vAlign w:val="bottom"/>
            <w:hideMark/>
          </w:tcPr>
          <w:p w14:paraId="49F77822" w14:textId="6743C564" w:rsidR="00DF524F" w:rsidRPr="00BE5E19" w:rsidRDefault="00DF524F" w:rsidP="00DF524F">
            <w:pPr>
              <w:spacing w:after="0" w:line="240" w:lineRule="auto"/>
              <w:jc w:val="right"/>
              <w:rPr>
                <w:rFonts w:ascii="Aptos" w:eastAsia="Times New Roman" w:hAnsi="Aptos" w:cs="Calibri"/>
                <w:color w:val="000000"/>
                <w:sz w:val="20"/>
                <w:szCs w:val="20"/>
                <w:lang w:val="en-GB"/>
              </w:rPr>
            </w:pPr>
            <w:r w:rsidRPr="00BE5E19">
              <w:rPr>
                <w:rFonts w:ascii="Aptos" w:hAnsi="Aptos" w:cs="Calibri"/>
                <w:color w:val="000000"/>
                <w:sz w:val="20"/>
                <w:szCs w:val="20"/>
              </w:rPr>
              <w:t>49</w:t>
            </w:r>
            <w:r>
              <w:rPr>
                <w:rFonts w:ascii="Aptos" w:hAnsi="Aptos" w:cs="Calibri"/>
                <w:color w:val="000000"/>
                <w:sz w:val="20"/>
                <w:szCs w:val="20"/>
              </w:rPr>
              <w:t>.</w:t>
            </w:r>
            <w:r w:rsidRPr="00BE5E19">
              <w:rPr>
                <w:rFonts w:ascii="Aptos" w:hAnsi="Aptos" w:cs="Calibri"/>
                <w:color w:val="000000"/>
                <w:sz w:val="20"/>
                <w:szCs w:val="20"/>
              </w:rPr>
              <w:t>460</w:t>
            </w:r>
          </w:p>
        </w:tc>
      </w:tr>
      <w:tr w:rsidR="00DF524F" w:rsidRPr="00BE5E19" w14:paraId="73A984F5" w14:textId="77777777" w:rsidTr="00DF524F">
        <w:trPr>
          <w:trHeight w:val="270"/>
        </w:trPr>
        <w:tc>
          <w:tcPr>
            <w:tcW w:w="6030" w:type="dxa"/>
            <w:tcBorders>
              <w:top w:val="nil"/>
              <w:left w:val="nil"/>
              <w:bottom w:val="single" w:sz="8" w:space="0" w:color="4F6228"/>
              <w:right w:val="nil"/>
            </w:tcBorders>
            <w:noWrap/>
            <w:vAlign w:val="bottom"/>
            <w:hideMark/>
          </w:tcPr>
          <w:p w14:paraId="6819FA9A" w14:textId="72AED425"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Βραχυπρόθεσμες υποχρεώσεις</w:t>
            </w:r>
          </w:p>
        </w:tc>
        <w:tc>
          <w:tcPr>
            <w:tcW w:w="270" w:type="dxa"/>
            <w:tcBorders>
              <w:top w:val="nil"/>
              <w:left w:val="nil"/>
              <w:bottom w:val="nil"/>
              <w:right w:val="nil"/>
            </w:tcBorders>
            <w:shd w:val="clear" w:color="000000" w:fill="FFFFFF"/>
            <w:noWrap/>
            <w:vAlign w:val="bottom"/>
          </w:tcPr>
          <w:p w14:paraId="47AFD524"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3F908ED5" w14:textId="2A9E086A"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641</w:t>
            </w:r>
            <w:r>
              <w:rPr>
                <w:rFonts w:ascii="Aptos" w:hAnsi="Aptos" w:cs="Calibri"/>
                <w:b/>
                <w:bCs/>
                <w:color w:val="000000"/>
                <w:sz w:val="20"/>
                <w:szCs w:val="20"/>
              </w:rPr>
              <w:t>.</w:t>
            </w:r>
            <w:r w:rsidRPr="0025770E">
              <w:rPr>
                <w:rFonts w:ascii="Aptos" w:hAnsi="Aptos" w:cs="Calibri"/>
                <w:b/>
                <w:bCs/>
                <w:color w:val="000000"/>
                <w:sz w:val="20"/>
                <w:szCs w:val="20"/>
              </w:rPr>
              <w:t>516</w:t>
            </w:r>
          </w:p>
        </w:tc>
        <w:tc>
          <w:tcPr>
            <w:tcW w:w="270" w:type="dxa"/>
            <w:tcBorders>
              <w:top w:val="nil"/>
              <w:left w:val="nil"/>
              <w:bottom w:val="nil"/>
              <w:right w:val="nil"/>
            </w:tcBorders>
            <w:noWrap/>
            <w:vAlign w:val="bottom"/>
            <w:hideMark/>
          </w:tcPr>
          <w:p w14:paraId="27C46988"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35114C51" w14:textId="2AB0036F"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440</w:t>
            </w:r>
            <w:r>
              <w:rPr>
                <w:rFonts w:ascii="Aptos" w:hAnsi="Aptos" w:cs="Calibri"/>
                <w:b/>
                <w:bCs/>
                <w:color w:val="000000"/>
                <w:sz w:val="20"/>
                <w:szCs w:val="20"/>
              </w:rPr>
              <w:t>.</w:t>
            </w:r>
            <w:r w:rsidRPr="0025770E">
              <w:rPr>
                <w:rFonts w:ascii="Aptos" w:hAnsi="Aptos" w:cs="Calibri"/>
                <w:b/>
                <w:bCs/>
                <w:color w:val="000000"/>
                <w:sz w:val="20"/>
                <w:szCs w:val="20"/>
              </w:rPr>
              <w:t>356</w:t>
            </w:r>
          </w:p>
        </w:tc>
      </w:tr>
      <w:tr w:rsidR="00DF524F" w:rsidRPr="00BE5E19" w14:paraId="4FE7AD66" w14:textId="77777777" w:rsidTr="00DF524F">
        <w:trPr>
          <w:trHeight w:val="270"/>
        </w:trPr>
        <w:tc>
          <w:tcPr>
            <w:tcW w:w="6030" w:type="dxa"/>
            <w:tcBorders>
              <w:top w:val="nil"/>
              <w:left w:val="nil"/>
              <w:bottom w:val="single" w:sz="8" w:space="0" w:color="4F6228"/>
              <w:right w:val="nil"/>
            </w:tcBorders>
            <w:noWrap/>
            <w:vAlign w:val="bottom"/>
            <w:hideMark/>
          </w:tcPr>
          <w:p w14:paraId="495E9A6C" w14:textId="793E7647" w:rsidR="00DF524F" w:rsidRPr="00BE5E19" w:rsidRDefault="00DF524F" w:rsidP="00DF524F">
            <w:pPr>
              <w:spacing w:after="0" w:line="240" w:lineRule="auto"/>
              <w:rPr>
                <w:rFonts w:ascii="Aptos" w:eastAsia="Times New Roman" w:hAnsi="Aptos" w:cs="Calibri"/>
                <w:b/>
                <w:bCs/>
                <w:color w:val="000000"/>
                <w:sz w:val="20"/>
                <w:szCs w:val="20"/>
                <w:lang w:val="en-GB"/>
              </w:rPr>
            </w:pPr>
            <w:r w:rsidRPr="005460AF">
              <w:rPr>
                <w:rFonts w:eastAsia="MS Mincho"/>
                <w:b/>
                <w:color w:val="000000"/>
                <w:sz w:val="20"/>
                <w:szCs w:val="24"/>
              </w:rPr>
              <w:t>ΣΥΝΟΛΟ ΥΠΟΧΡΕΩΣΕΩΝ</w:t>
            </w:r>
          </w:p>
        </w:tc>
        <w:tc>
          <w:tcPr>
            <w:tcW w:w="270" w:type="dxa"/>
            <w:tcBorders>
              <w:top w:val="nil"/>
              <w:left w:val="nil"/>
              <w:bottom w:val="nil"/>
              <w:right w:val="nil"/>
            </w:tcBorders>
            <w:shd w:val="clear" w:color="000000" w:fill="FFFFFF"/>
            <w:noWrap/>
            <w:vAlign w:val="bottom"/>
          </w:tcPr>
          <w:p w14:paraId="4D56FEF8" w14:textId="77777777" w:rsidR="00DF524F" w:rsidRPr="00BE5E19" w:rsidRDefault="00DF524F" w:rsidP="00DF524F">
            <w:pPr>
              <w:spacing w:after="0" w:line="240" w:lineRule="auto"/>
              <w:rPr>
                <w:rFonts w:ascii="Aptos" w:eastAsia="Times New Roman" w:hAnsi="Aptos" w:cs="Calibri"/>
                <w:color w:val="000000"/>
                <w:sz w:val="20"/>
                <w:szCs w:val="20"/>
                <w:lang w:val="en-GB"/>
              </w:rPr>
            </w:pPr>
          </w:p>
        </w:tc>
        <w:tc>
          <w:tcPr>
            <w:tcW w:w="1800" w:type="dxa"/>
            <w:tcBorders>
              <w:top w:val="nil"/>
              <w:left w:val="nil"/>
              <w:bottom w:val="single" w:sz="8" w:space="0" w:color="4F6228"/>
              <w:right w:val="nil"/>
            </w:tcBorders>
            <w:shd w:val="clear" w:color="000000" w:fill="D8E4BC"/>
            <w:noWrap/>
            <w:vAlign w:val="bottom"/>
          </w:tcPr>
          <w:p w14:paraId="1D8052DA" w14:textId="0FA31090"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945</w:t>
            </w:r>
            <w:r>
              <w:rPr>
                <w:rFonts w:ascii="Aptos" w:hAnsi="Aptos" w:cs="Calibri"/>
                <w:b/>
                <w:bCs/>
                <w:color w:val="000000"/>
                <w:sz w:val="20"/>
                <w:szCs w:val="20"/>
              </w:rPr>
              <w:t>.</w:t>
            </w:r>
            <w:r w:rsidRPr="0025770E">
              <w:rPr>
                <w:rFonts w:ascii="Aptos" w:hAnsi="Aptos" w:cs="Calibri"/>
                <w:b/>
                <w:bCs/>
                <w:color w:val="000000"/>
                <w:sz w:val="20"/>
                <w:szCs w:val="20"/>
              </w:rPr>
              <w:t>856</w:t>
            </w:r>
          </w:p>
        </w:tc>
        <w:tc>
          <w:tcPr>
            <w:tcW w:w="270" w:type="dxa"/>
            <w:tcBorders>
              <w:top w:val="nil"/>
              <w:left w:val="nil"/>
              <w:bottom w:val="nil"/>
              <w:right w:val="nil"/>
            </w:tcBorders>
            <w:noWrap/>
            <w:vAlign w:val="bottom"/>
            <w:hideMark/>
          </w:tcPr>
          <w:p w14:paraId="5EF7381B"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4D304584" w14:textId="0489F2C0"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740</w:t>
            </w:r>
            <w:r>
              <w:rPr>
                <w:rFonts w:ascii="Aptos" w:hAnsi="Aptos" w:cs="Calibri"/>
                <w:b/>
                <w:bCs/>
                <w:color w:val="000000"/>
                <w:sz w:val="20"/>
                <w:szCs w:val="20"/>
              </w:rPr>
              <w:t>.</w:t>
            </w:r>
            <w:r w:rsidRPr="0025770E">
              <w:rPr>
                <w:rFonts w:ascii="Aptos" w:hAnsi="Aptos" w:cs="Calibri"/>
                <w:b/>
                <w:bCs/>
                <w:color w:val="000000"/>
                <w:sz w:val="20"/>
                <w:szCs w:val="20"/>
              </w:rPr>
              <w:t>307</w:t>
            </w:r>
          </w:p>
        </w:tc>
      </w:tr>
      <w:tr w:rsidR="00DF524F" w:rsidRPr="00BE5E19" w14:paraId="44596319" w14:textId="77777777" w:rsidTr="00DF524F">
        <w:trPr>
          <w:trHeight w:val="270"/>
        </w:trPr>
        <w:tc>
          <w:tcPr>
            <w:tcW w:w="6030" w:type="dxa"/>
            <w:tcBorders>
              <w:top w:val="nil"/>
              <w:left w:val="nil"/>
              <w:bottom w:val="single" w:sz="8" w:space="0" w:color="4F6228"/>
              <w:right w:val="nil"/>
            </w:tcBorders>
            <w:noWrap/>
            <w:vAlign w:val="bottom"/>
            <w:hideMark/>
          </w:tcPr>
          <w:p w14:paraId="05F3F0BC" w14:textId="4C1B9CDE" w:rsidR="00DF524F" w:rsidRPr="00DF524F" w:rsidRDefault="00DF524F" w:rsidP="00DF524F">
            <w:pPr>
              <w:spacing w:after="0" w:line="240" w:lineRule="auto"/>
              <w:rPr>
                <w:rFonts w:ascii="Aptos" w:eastAsia="Times New Roman" w:hAnsi="Aptos" w:cs="Calibri"/>
                <w:b/>
                <w:bCs/>
                <w:color w:val="000000"/>
                <w:sz w:val="20"/>
                <w:szCs w:val="20"/>
              </w:rPr>
            </w:pPr>
            <w:r w:rsidRPr="005460AF">
              <w:rPr>
                <w:rFonts w:eastAsia="MS Mincho"/>
                <w:b/>
                <w:color w:val="000000"/>
                <w:sz w:val="20"/>
                <w:szCs w:val="24"/>
              </w:rPr>
              <w:t>ΣΥΝΟΛΟ ΙΔΙΩΝ ΚΕΦΑΛΑΙΩΝ ΚΑΙ ΥΠΟΧΡΕΩΣΕΩΝ</w:t>
            </w:r>
          </w:p>
        </w:tc>
        <w:tc>
          <w:tcPr>
            <w:tcW w:w="270" w:type="dxa"/>
            <w:tcBorders>
              <w:top w:val="nil"/>
              <w:left w:val="nil"/>
              <w:bottom w:val="nil"/>
              <w:right w:val="nil"/>
            </w:tcBorders>
            <w:shd w:val="clear" w:color="000000" w:fill="FFFFFF"/>
            <w:noWrap/>
            <w:vAlign w:val="bottom"/>
          </w:tcPr>
          <w:p w14:paraId="7A670521" w14:textId="77777777" w:rsidR="00DF524F" w:rsidRPr="00DF524F" w:rsidRDefault="00DF524F" w:rsidP="00DF524F">
            <w:pPr>
              <w:spacing w:after="0" w:line="240" w:lineRule="auto"/>
              <w:rPr>
                <w:rFonts w:ascii="Aptos" w:eastAsia="Times New Roman" w:hAnsi="Aptos" w:cs="Calibri"/>
                <w:color w:val="000000"/>
                <w:sz w:val="20"/>
                <w:szCs w:val="20"/>
              </w:rPr>
            </w:pPr>
          </w:p>
        </w:tc>
        <w:tc>
          <w:tcPr>
            <w:tcW w:w="1800" w:type="dxa"/>
            <w:tcBorders>
              <w:top w:val="nil"/>
              <w:left w:val="nil"/>
              <w:bottom w:val="single" w:sz="8" w:space="0" w:color="4F6228"/>
              <w:right w:val="nil"/>
            </w:tcBorders>
            <w:shd w:val="clear" w:color="000000" w:fill="D8E4BC"/>
            <w:noWrap/>
            <w:vAlign w:val="bottom"/>
          </w:tcPr>
          <w:p w14:paraId="5D3CC2F7" w14:textId="0E462706" w:rsidR="00DF524F" w:rsidRPr="0025770E" w:rsidRDefault="00DF524F" w:rsidP="00DF524F">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898</w:t>
            </w:r>
            <w:r>
              <w:rPr>
                <w:rFonts w:ascii="Aptos" w:hAnsi="Aptos" w:cs="Calibri"/>
                <w:b/>
                <w:bCs/>
                <w:color w:val="000000"/>
                <w:sz w:val="20"/>
                <w:szCs w:val="20"/>
              </w:rPr>
              <w:t>.</w:t>
            </w:r>
            <w:r w:rsidRPr="0025770E">
              <w:rPr>
                <w:rFonts w:ascii="Aptos" w:hAnsi="Aptos" w:cs="Calibri"/>
                <w:b/>
                <w:bCs/>
                <w:color w:val="000000"/>
                <w:sz w:val="20"/>
                <w:szCs w:val="20"/>
              </w:rPr>
              <w:t>067</w:t>
            </w:r>
          </w:p>
        </w:tc>
        <w:tc>
          <w:tcPr>
            <w:tcW w:w="270" w:type="dxa"/>
            <w:tcBorders>
              <w:top w:val="nil"/>
              <w:left w:val="nil"/>
              <w:bottom w:val="nil"/>
              <w:right w:val="nil"/>
            </w:tcBorders>
            <w:noWrap/>
            <w:vAlign w:val="bottom"/>
            <w:hideMark/>
          </w:tcPr>
          <w:p w14:paraId="7F1060DB" w14:textId="77777777" w:rsidR="00DF524F" w:rsidRPr="0025770E" w:rsidRDefault="00DF524F" w:rsidP="00DF524F">
            <w:pPr>
              <w:spacing w:after="0" w:line="240" w:lineRule="auto"/>
              <w:jc w:val="right"/>
              <w:rPr>
                <w:rFonts w:ascii="Aptos" w:eastAsia="Times New Roman" w:hAnsi="Aptos" w:cs="Calibri"/>
                <w:b/>
                <w:bCs/>
                <w:color w:val="000000"/>
                <w:sz w:val="20"/>
                <w:szCs w:val="20"/>
                <w:lang w:val="en-GB"/>
              </w:rPr>
            </w:pPr>
          </w:p>
        </w:tc>
        <w:tc>
          <w:tcPr>
            <w:tcW w:w="1620" w:type="dxa"/>
            <w:tcBorders>
              <w:top w:val="nil"/>
              <w:left w:val="nil"/>
              <w:bottom w:val="single" w:sz="8" w:space="0" w:color="4F6228"/>
              <w:right w:val="nil"/>
            </w:tcBorders>
            <w:noWrap/>
            <w:vAlign w:val="bottom"/>
            <w:hideMark/>
          </w:tcPr>
          <w:p w14:paraId="3260BDAD" w14:textId="680D7AFB" w:rsidR="00DF524F" w:rsidRPr="0025770E" w:rsidRDefault="00DF524F" w:rsidP="00DF524F">
            <w:pPr>
              <w:spacing w:after="0" w:line="240" w:lineRule="auto"/>
              <w:jc w:val="right"/>
              <w:rPr>
                <w:rFonts w:ascii="Aptos" w:eastAsia="Times New Roman" w:hAnsi="Aptos" w:cs="Calibri"/>
                <w:b/>
                <w:bCs/>
                <w:color w:val="000000"/>
                <w:sz w:val="20"/>
                <w:szCs w:val="20"/>
                <w:lang w:val="en-GB"/>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622</w:t>
            </w:r>
            <w:r>
              <w:rPr>
                <w:rFonts w:ascii="Aptos" w:hAnsi="Aptos" w:cs="Calibri"/>
                <w:b/>
                <w:bCs/>
                <w:color w:val="000000"/>
                <w:sz w:val="20"/>
                <w:szCs w:val="20"/>
              </w:rPr>
              <w:t>.</w:t>
            </w:r>
            <w:r w:rsidRPr="0025770E">
              <w:rPr>
                <w:rFonts w:ascii="Aptos" w:hAnsi="Aptos" w:cs="Calibri"/>
                <w:b/>
                <w:bCs/>
                <w:color w:val="000000"/>
                <w:sz w:val="20"/>
                <w:szCs w:val="20"/>
              </w:rPr>
              <w:t>588</w:t>
            </w:r>
          </w:p>
        </w:tc>
      </w:tr>
    </w:tbl>
    <w:p w14:paraId="1776ACB1" w14:textId="5A02FC88" w:rsidR="00131985" w:rsidRPr="00DF524F" w:rsidRDefault="00DF524F" w:rsidP="00C4523D">
      <w:pPr>
        <w:autoSpaceDE w:val="0"/>
        <w:autoSpaceDN w:val="0"/>
        <w:adjustRightInd w:val="0"/>
        <w:spacing w:after="120" w:line="240" w:lineRule="auto"/>
        <w:jc w:val="both"/>
        <w:rPr>
          <w:rFonts w:ascii="Aptos" w:hAnsi="Aptos" w:cs="Calibri"/>
          <w:highlight w:val="yellow"/>
        </w:rPr>
      </w:pPr>
      <w:r w:rsidRPr="00250E31">
        <w:rPr>
          <w:rFonts w:cs="Calibri"/>
          <w:i/>
          <w:color w:val="000000"/>
          <w:sz w:val="16"/>
          <w:szCs w:val="20"/>
        </w:rPr>
        <w:t xml:space="preserve">Πηγή: Ενοποιημένη Κατάσταση Οικονομικής Θέσης (Παράρτημα </w:t>
      </w:r>
      <w:r>
        <w:rPr>
          <w:rFonts w:cs="Calibri"/>
          <w:i/>
          <w:color w:val="000000"/>
          <w:sz w:val="16"/>
          <w:szCs w:val="20"/>
        </w:rPr>
        <w:t>Γ</w:t>
      </w:r>
      <w:r w:rsidRPr="00250E31">
        <w:rPr>
          <w:rFonts w:cs="Calibri"/>
          <w:i/>
          <w:color w:val="000000"/>
          <w:sz w:val="16"/>
          <w:szCs w:val="20"/>
        </w:rPr>
        <w:t>)</w:t>
      </w:r>
    </w:p>
    <w:p w14:paraId="61BAC27E" w14:textId="5CE217E2" w:rsidR="00DF524F" w:rsidRDefault="00DF524F" w:rsidP="00DF524F">
      <w:pPr>
        <w:spacing w:after="120" w:line="240" w:lineRule="auto"/>
        <w:jc w:val="both"/>
        <w:rPr>
          <w:rFonts w:ascii="Aptos" w:hAnsi="Aptos"/>
          <w:bCs/>
        </w:rPr>
      </w:pPr>
      <w:bookmarkStart w:id="5" w:name="_Hlk205832747"/>
      <w:bookmarkEnd w:id="2"/>
      <w:bookmarkEnd w:id="3"/>
      <w:r w:rsidRPr="00DF524F">
        <w:rPr>
          <w:rFonts w:ascii="Aptos" w:hAnsi="Aptos" w:cs="Calibri"/>
        </w:rPr>
        <w:t xml:space="preserve">Ο Όμιλος συνέχισε την υλοποίηση του στρατηγικού επενδυτικού του προγράμματος κατά το πρώτο εξάμηνο του 2026, πραγματοποιώντας </w:t>
      </w:r>
      <w:r w:rsidRPr="00DF524F">
        <w:rPr>
          <w:rFonts w:ascii="Aptos" w:hAnsi="Aptos" w:cs="Calibri"/>
          <w:b/>
          <w:bCs/>
        </w:rPr>
        <w:t>κεφαλαιουχικές δαπάνες</w:t>
      </w:r>
      <w:r w:rsidRPr="00DF524F">
        <w:rPr>
          <w:rFonts w:ascii="Aptos" w:hAnsi="Aptos" w:cs="Calibri"/>
        </w:rPr>
        <w:t xml:space="preserve"> ύψους 165 εκατ. ευρώ. </w:t>
      </w:r>
      <w:r w:rsidR="002C1ACD">
        <w:rPr>
          <w:rFonts w:ascii="Aptos" w:hAnsi="Aptos" w:cs="Calibri"/>
        </w:rPr>
        <w:t xml:space="preserve"> </w:t>
      </w:r>
      <w:r w:rsidRPr="00DF524F">
        <w:rPr>
          <w:rFonts w:ascii="Aptos" w:hAnsi="Aptos" w:cs="Calibri"/>
        </w:rPr>
        <w:t xml:space="preserve">Από το ποσό αυτό, 137 εκατ. ευρώ αφορούσαν τον τομέα καλωδίων και συνδέονται κυρίως με την </w:t>
      </w:r>
      <w:r w:rsidR="002C1ACD" w:rsidRPr="00DF524F">
        <w:rPr>
          <w:rFonts w:ascii="Aptos" w:hAnsi="Aptos" w:cs="Calibri"/>
        </w:rPr>
        <w:t xml:space="preserve">επέκταση </w:t>
      </w:r>
      <w:r w:rsidR="002C1ACD">
        <w:rPr>
          <w:rFonts w:ascii="Aptos" w:hAnsi="Aptos" w:cs="Calibri"/>
        </w:rPr>
        <w:t xml:space="preserve">και τη βελτίωση της </w:t>
      </w:r>
      <w:r w:rsidR="002C1ACD" w:rsidRPr="00DF524F">
        <w:rPr>
          <w:rFonts w:ascii="Aptos" w:hAnsi="Aptos" w:cs="Calibri"/>
        </w:rPr>
        <w:t xml:space="preserve">παραγωγικής δυναμικότητας </w:t>
      </w:r>
      <w:r w:rsidRPr="00DF524F">
        <w:rPr>
          <w:rFonts w:ascii="Aptos" w:hAnsi="Aptos" w:cs="Calibri"/>
        </w:rPr>
        <w:t>στην Ελλάδα</w:t>
      </w:r>
      <w:r w:rsidR="002C1ACD">
        <w:rPr>
          <w:rFonts w:ascii="Aptos" w:hAnsi="Aptos" w:cs="Calibri"/>
        </w:rPr>
        <w:t xml:space="preserve"> και βέβαια </w:t>
      </w:r>
      <w:r w:rsidRPr="00DF524F">
        <w:rPr>
          <w:rFonts w:ascii="Aptos" w:hAnsi="Aptos" w:cs="Calibri"/>
        </w:rPr>
        <w:t>με τη</w:t>
      </w:r>
      <w:r w:rsidR="002C1ACD">
        <w:rPr>
          <w:rFonts w:ascii="Aptos" w:hAnsi="Aptos" w:cs="Calibri"/>
        </w:rPr>
        <w:t xml:space="preserve"> συνεχιζόμενη</w:t>
      </w:r>
      <w:r w:rsidRPr="00DF524F">
        <w:rPr>
          <w:rFonts w:ascii="Aptos" w:hAnsi="Aptos" w:cs="Calibri"/>
        </w:rPr>
        <w:t xml:space="preserve"> κατασκευή της νέας μονάδας στο </w:t>
      </w:r>
      <w:r w:rsidR="001A6073">
        <w:rPr>
          <w:rFonts w:ascii="Aptos" w:hAnsi="Aptos" w:cs="Calibri"/>
          <w:lang w:val="en-US"/>
        </w:rPr>
        <w:t>Maryland</w:t>
      </w:r>
      <w:r w:rsidRPr="00DF524F">
        <w:rPr>
          <w:rFonts w:ascii="Aptos" w:hAnsi="Aptos" w:cs="Calibri"/>
        </w:rPr>
        <w:t xml:space="preserve"> των Η</w:t>
      </w:r>
      <w:r w:rsidR="002C1ACD">
        <w:rPr>
          <w:rFonts w:ascii="Aptos" w:hAnsi="Aptos" w:cs="Calibri"/>
        </w:rPr>
        <w:t>ΠΑ</w:t>
      </w:r>
      <w:r w:rsidRPr="00DF524F">
        <w:rPr>
          <w:rFonts w:ascii="Aptos" w:hAnsi="Aptos" w:cs="Calibri"/>
        </w:rPr>
        <w:t>.</w:t>
      </w:r>
      <w:r w:rsidR="002C1ACD">
        <w:rPr>
          <w:rFonts w:ascii="Aptos" w:hAnsi="Aptos" w:cs="Calibri"/>
        </w:rPr>
        <w:t xml:space="preserve"> </w:t>
      </w:r>
      <w:r>
        <w:rPr>
          <w:rFonts w:ascii="Aptos" w:hAnsi="Aptos" w:cs="Calibri"/>
        </w:rPr>
        <w:t xml:space="preserve"> </w:t>
      </w:r>
      <w:r w:rsidRPr="00DF524F">
        <w:rPr>
          <w:rFonts w:ascii="Aptos" w:hAnsi="Aptos"/>
          <w:bCs/>
        </w:rPr>
        <w:t xml:space="preserve">Στον τομέα των σωλήνων χάλυβα, οι επενδύσεις ανήλθαν σε 28 εκατ. ευρώ και περιλάμβαναν δαπάνες που σχετίζονται με την εξαγορά και αναβάθμιση της </w:t>
      </w:r>
      <w:r w:rsidR="00707321">
        <w:rPr>
          <w:rFonts w:ascii="Aptos" w:hAnsi="Aptos"/>
          <w:bCs/>
        </w:rPr>
        <w:t xml:space="preserve">νέας </w:t>
      </w:r>
      <w:r w:rsidRPr="00DF524F">
        <w:rPr>
          <w:rFonts w:ascii="Aptos" w:hAnsi="Aptos"/>
          <w:bCs/>
        </w:rPr>
        <w:t>μονάδας στ</w:t>
      </w:r>
      <w:r w:rsidR="00707321">
        <w:rPr>
          <w:rFonts w:ascii="Aptos" w:hAnsi="Aptos"/>
          <w:bCs/>
        </w:rPr>
        <w:t>ην Αγγλία</w:t>
      </w:r>
      <w:r w:rsidRPr="00DF524F">
        <w:rPr>
          <w:rFonts w:ascii="Aptos" w:hAnsi="Aptos"/>
          <w:bCs/>
        </w:rPr>
        <w:t>, καθώς και βελτιώσεις στις παραγωγικές εγκαταστάσεις της Θίσβης.</w:t>
      </w:r>
    </w:p>
    <w:p w14:paraId="080BD3D4" w14:textId="2B61F1B4" w:rsidR="00DF524F" w:rsidRPr="00DF524F" w:rsidRDefault="00DF524F" w:rsidP="00DF524F">
      <w:pPr>
        <w:spacing w:after="120" w:line="240" w:lineRule="auto"/>
        <w:jc w:val="both"/>
        <w:rPr>
          <w:rFonts w:ascii="Aptos" w:hAnsi="Aptos" w:cs="Calibri"/>
        </w:rPr>
      </w:pPr>
      <w:r w:rsidRPr="00DF524F">
        <w:rPr>
          <w:rFonts w:ascii="Aptos" w:hAnsi="Aptos" w:cs="Calibri"/>
        </w:rPr>
        <w:t xml:space="preserve">Το </w:t>
      </w:r>
      <w:r w:rsidRPr="00DF524F">
        <w:rPr>
          <w:rFonts w:ascii="Aptos" w:hAnsi="Aptos" w:cs="Calibri"/>
          <w:b/>
          <w:bCs/>
        </w:rPr>
        <w:t>καθαρό χρέος</w:t>
      </w:r>
      <w:r w:rsidRPr="00DF524F">
        <w:rPr>
          <w:rFonts w:ascii="Aptos" w:hAnsi="Aptos" w:cs="Calibri"/>
        </w:rPr>
        <w:t xml:space="preserve"> </w:t>
      </w:r>
      <w:r w:rsidR="006C77F2">
        <w:rPr>
          <w:rFonts w:ascii="Aptos" w:hAnsi="Aptos" w:cs="Calibri"/>
        </w:rPr>
        <w:t>αυξήθηκε σημαντικά στα</w:t>
      </w:r>
      <w:r w:rsidRPr="00DF524F">
        <w:rPr>
          <w:rFonts w:ascii="Aptos" w:hAnsi="Aptos" w:cs="Calibri"/>
        </w:rPr>
        <w:t xml:space="preserve"> 433 εκατ. ευρώ στις 30 Ιουνίου 2026, έναντι περίπου 20</w:t>
      </w:r>
      <w:r w:rsidR="006C77F2">
        <w:rPr>
          <w:rFonts w:ascii="Aptos" w:hAnsi="Aptos" w:cs="Calibri"/>
        </w:rPr>
        <w:t>0</w:t>
      </w:r>
      <w:r w:rsidRPr="00DF524F">
        <w:rPr>
          <w:rFonts w:ascii="Aptos" w:hAnsi="Aptos" w:cs="Calibri"/>
        </w:rPr>
        <w:t xml:space="preserve"> εκατ. ευρώ στο τέλος του 2025. Η αύξηση αυτή αντανακλά κυρίως το επενδυτικ</w:t>
      </w:r>
      <w:r w:rsidR="0063143E">
        <w:rPr>
          <w:rFonts w:ascii="Aptos" w:hAnsi="Aptos" w:cs="Calibri"/>
        </w:rPr>
        <w:t>ό</w:t>
      </w:r>
      <w:r w:rsidRPr="00DF524F">
        <w:rPr>
          <w:rFonts w:ascii="Aptos" w:hAnsi="Aptos" w:cs="Calibri"/>
        </w:rPr>
        <w:t xml:space="preserve"> πρ</w:t>
      </w:r>
      <w:r w:rsidR="0063143E">
        <w:rPr>
          <w:rFonts w:ascii="Aptos" w:hAnsi="Aptos" w:cs="Calibri"/>
        </w:rPr>
        <w:t xml:space="preserve">όγραμμα </w:t>
      </w:r>
      <w:r w:rsidRPr="00DF524F">
        <w:rPr>
          <w:rFonts w:ascii="Aptos" w:hAnsi="Aptos" w:cs="Calibri"/>
        </w:rPr>
        <w:t xml:space="preserve">του Ομίλου </w:t>
      </w:r>
      <w:r w:rsidR="0063143E">
        <w:rPr>
          <w:rFonts w:ascii="Aptos" w:hAnsi="Aptos" w:cs="Calibri"/>
        </w:rPr>
        <w:t xml:space="preserve">αλλά </w:t>
      </w:r>
      <w:r w:rsidRPr="00DF524F">
        <w:rPr>
          <w:rFonts w:ascii="Aptos" w:hAnsi="Aptos" w:cs="Calibri"/>
        </w:rPr>
        <w:t xml:space="preserve">και τις αυξημένες ανάγκες σε κεφάλαιο κίνησης κατά τη διάρκεια ενός ιδιαίτερα δραστήριου εξαμήνου. Παρά την αύξηση του δανεισμού, </w:t>
      </w:r>
      <w:r w:rsidR="0054711A">
        <w:rPr>
          <w:rFonts w:ascii="Aptos" w:hAnsi="Aptos" w:cs="Calibri"/>
        </w:rPr>
        <w:t>η</w:t>
      </w:r>
      <w:r w:rsidRPr="00DF524F">
        <w:rPr>
          <w:rFonts w:ascii="Aptos" w:hAnsi="Aptos" w:cs="Calibri"/>
        </w:rPr>
        <w:t xml:space="preserve"> χρηματοοικονομικ</w:t>
      </w:r>
      <w:r w:rsidR="0054711A">
        <w:rPr>
          <w:rFonts w:ascii="Aptos" w:hAnsi="Aptos" w:cs="Calibri"/>
        </w:rPr>
        <w:t xml:space="preserve">ή μόχλευση </w:t>
      </w:r>
      <w:r w:rsidRPr="00DF524F">
        <w:rPr>
          <w:rFonts w:ascii="Aptos" w:hAnsi="Aptos" w:cs="Calibri"/>
        </w:rPr>
        <w:t xml:space="preserve">του Ομίλου παραμένει </w:t>
      </w:r>
      <w:r w:rsidR="0054711A">
        <w:rPr>
          <w:rFonts w:ascii="Aptos" w:hAnsi="Aptos" w:cs="Calibri"/>
        </w:rPr>
        <w:t>πολύ ικανοποιητική</w:t>
      </w:r>
      <w:r w:rsidR="007F4450">
        <w:rPr>
          <w:rFonts w:ascii="Aptos" w:hAnsi="Aptos" w:cs="Calibri"/>
        </w:rPr>
        <w:t xml:space="preserve"> </w:t>
      </w:r>
      <w:r w:rsidR="00B87E66">
        <w:rPr>
          <w:rFonts w:ascii="Aptos" w:hAnsi="Aptos" w:cs="Calibri"/>
        </w:rPr>
        <w:t>γύρω στο 1</w:t>
      </w:r>
      <w:r w:rsidR="00F1669B">
        <w:rPr>
          <w:rFonts w:ascii="Aptos" w:hAnsi="Aptos" w:cs="Calibri"/>
          <w:lang w:val="en-US"/>
        </w:rPr>
        <w:t xml:space="preserve">x </w:t>
      </w:r>
      <w:r w:rsidR="007F4450">
        <w:rPr>
          <w:rFonts w:ascii="Aptos" w:hAnsi="Aptos" w:cs="Calibri"/>
        </w:rPr>
        <w:t>καθώς</w:t>
      </w:r>
      <w:r w:rsidRPr="00DF524F">
        <w:rPr>
          <w:rFonts w:ascii="Aptos" w:hAnsi="Aptos" w:cs="Calibri"/>
        </w:rPr>
        <w:t xml:space="preserve"> </w:t>
      </w:r>
      <w:r w:rsidR="007F4450">
        <w:rPr>
          <w:rFonts w:ascii="Aptos" w:hAnsi="Aptos" w:cs="Calibri"/>
        </w:rPr>
        <w:t>στηρίζεται α</w:t>
      </w:r>
      <w:r w:rsidRPr="00DF524F">
        <w:rPr>
          <w:rFonts w:ascii="Aptos" w:hAnsi="Aptos" w:cs="Calibri"/>
        </w:rPr>
        <w:t xml:space="preserve">πό </w:t>
      </w:r>
      <w:r w:rsidR="007F4450">
        <w:rPr>
          <w:rFonts w:ascii="Aptos" w:hAnsi="Aptos" w:cs="Calibri"/>
        </w:rPr>
        <w:t xml:space="preserve">ισχυρή </w:t>
      </w:r>
      <w:r w:rsidRPr="00DF524F">
        <w:rPr>
          <w:rFonts w:ascii="Aptos" w:hAnsi="Aptos" w:cs="Calibri"/>
        </w:rPr>
        <w:t>λειτουργική κερδοφορία και πολυετές ανεκτέλεστο υπόλοιπο παραγγελιών.</w:t>
      </w:r>
    </w:p>
    <w:p w14:paraId="15524084" w14:textId="5248D438" w:rsidR="00B358D5" w:rsidRPr="00B358D5" w:rsidRDefault="00B358D5" w:rsidP="000B6B96">
      <w:pPr>
        <w:autoSpaceDE w:val="0"/>
        <w:autoSpaceDN w:val="0"/>
        <w:adjustRightInd w:val="0"/>
        <w:spacing w:after="120" w:line="240" w:lineRule="auto"/>
        <w:jc w:val="both"/>
        <w:rPr>
          <w:rFonts w:ascii="Aptos" w:hAnsi="Aptos" w:cs="Calibri"/>
        </w:rPr>
      </w:pPr>
      <w:r w:rsidRPr="00B358D5">
        <w:rPr>
          <w:rFonts w:ascii="Aptos" w:hAnsi="Aptos" w:cs="Calibri"/>
        </w:rPr>
        <w:t xml:space="preserve">Το </w:t>
      </w:r>
      <w:r w:rsidRPr="00B358D5">
        <w:rPr>
          <w:rFonts w:ascii="Aptos" w:hAnsi="Aptos" w:cs="Calibri"/>
          <w:b/>
          <w:bCs/>
        </w:rPr>
        <w:t>κεφάλαιο κίνησης</w:t>
      </w:r>
      <w:r w:rsidRPr="00BE5E19">
        <w:rPr>
          <w:rStyle w:val="FootnoteReference"/>
          <w:rFonts w:ascii="Aptos" w:hAnsi="Aptos" w:cs="Calibri"/>
          <w:b/>
          <w:bCs/>
          <w:lang w:val="en-GB"/>
        </w:rPr>
        <w:footnoteReference w:id="4"/>
      </w:r>
      <w:r w:rsidRPr="00B358D5">
        <w:rPr>
          <w:rFonts w:ascii="Aptos" w:hAnsi="Aptos" w:cs="Calibri"/>
        </w:rPr>
        <w:t xml:space="preserve"> </w:t>
      </w:r>
      <w:r w:rsidR="007F4450">
        <w:rPr>
          <w:rFonts w:ascii="Aptos" w:hAnsi="Aptos" w:cs="Calibri"/>
        </w:rPr>
        <w:t>έφτασε</w:t>
      </w:r>
      <w:r w:rsidRPr="00B358D5">
        <w:rPr>
          <w:rFonts w:ascii="Aptos" w:hAnsi="Aptos" w:cs="Calibri"/>
        </w:rPr>
        <w:t xml:space="preserve"> περίπου</w:t>
      </w:r>
      <w:r w:rsidR="007F4450">
        <w:rPr>
          <w:rFonts w:ascii="Aptos" w:hAnsi="Aptos" w:cs="Calibri"/>
        </w:rPr>
        <w:t xml:space="preserve"> τα</w:t>
      </w:r>
      <w:r w:rsidRPr="00B358D5">
        <w:rPr>
          <w:rFonts w:ascii="Aptos" w:hAnsi="Aptos" w:cs="Calibri"/>
        </w:rPr>
        <w:t xml:space="preserve"> 164 εκατ. ευρώ στα τέλη Ιουνίου 2026, </w:t>
      </w:r>
      <w:r w:rsidR="004152BD">
        <w:rPr>
          <w:rFonts w:ascii="Aptos" w:hAnsi="Aptos" w:cs="Calibri"/>
        </w:rPr>
        <w:t xml:space="preserve">ενώ ήταν </w:t>
      </w:r>
      <w:r w:rsidRPr="00B358D5">
        <w:rPr>
          <w:rFonts w:ascii="Aptos" w:hAnsi="Aptos" w:cs="Calibri"/>
        </w:rPr>
        <w:t>αρνητικ</w:t>
      </w:r>
      <w:r w:rsidR="004152BD">
        <w:rPr>
          <w:rFonts w:ascii="Aptos" w:hAnsi="Aptos" w:cs="Calibri"/>
        </w:rPr>
        <w:t>ό</w:t>
      </w:r>
      <w:r w:rsidRPr="00B358D5">
        <w:rPr>
          <w:rFonts w:ascii="Aptos" w:hAnsi="Aptos" w:cs="Calibri"/>
        </w:rPr>
        <w:t xml:space="preserve"> στο τέλος του 2025. </w:t>
      </w:r>
      <w:r w:rsidR="004152BD">
        <w:rPr>
          <w:rFonts w:ascii="Aptos" w:hAnsi="Aptos" w:cs="Calibri"/>
        </w:rPr>
        <w:t xml:space="preserve"> </w:t>
      </w:r>
      <w:r w:rsidRPr="00B358D5">
        <w:rPr>
          <w:rFonts w:ascii="Aptos" w:hAnsi="Aptos" w:cs="Calibri"/>
        </w:rPr>
        <w:t>Η μεταβολή αυτή οφείλεται κυρίως στ</w:t>
      </w:r>
      <w:r w:rsidR="004152BD">
        <w:rPr>
          <w:rFonts w:ascii="Aptos" w:hAnsi="Aptos" w:cs="Calibri"/>
        </w:rPr>
        <w:t xml:space="preserve">ο χρονισμό </w:t>
      </w:r>
      <w:r w:rsidRPr="00B358D5">
        <w:rPr>
          <w:rFonts w:ascii="Aptos" w:hAnsi="Aptos" w:cs="Calibri"/>
        </w:rPr>
        <w:t xml:space="preserve">των προμηθειών, της παραγωγής, της </w:t>
      </w:r>
      <w:r w:rsidRPr="00B358D5">
        <w:rPr>
          <w:rFonts w:ascii="Aptos" w:hAnsi="Aptos" w:cs="Calibri"/>
        </w:rPr>
        <w:lastRenderedPageBreak/>
        <w:t xml:space="preserve">τιμολόγησης και </w:t>
      </w:r>
      <w:r w:rsidR="00E23E10">
        <w:rPr>
          <w:rFonts w:ascii="Aptos" w:hAnsi="Aptos" w:cs="Calibri"/>
        </w:rPr>
        <w:t>της λήψης</w:t>
      </w:r>
      <w:r w:rsidRPr="00B358D5">
        <w:rPr>
          <w:rFonts w:ascii="Aptos" w:hAnsi="Aptos" w:cs="Calibri"/>
        </w:rPr>
        <w:t xml:space="preserve"> προκαταβολών </w:t>
      </w:r>
      <w:r w:rsidR="00E23E10">
        <w:rPr>
          <w:rFonts w:ascii="Aptos" w:hAnsi="Aptos" w:cs="Calibri"/>
        </w:rPr>
        <w:t xml:space="preserve">από </w:t>
      </w:r>
      <w:r w:rsidR="00E23E10" w:rsidRPr="00B358D5">
        <w:rPr>
          <w:rFonts w:ascii="Aptos" w:hAnsi="Aptos" w:cs="Calibri"/>
        </w:rPr>
        <w:t>πελάτ</w:t>
      </w:r>
      <w:r w:rsidR="00E23E10">
        <w:rPr>
          <w:rFonts w:ascii="Aptos" w:hAnsi="Aptos" w:cs="Calibri"/>
        </w:rPr>
        <w:t>ες</w:t>
      </w:r>
      <w:r w:rsidRPr="00B358D5">
        <w:rPr>
          <w:rFonts w:ascii="Aptos" w:hAnsi="Aptos" w:cs="Calibri"/>
        </w:rPr>
        <w:t xml:space="preserve"> για έργα που βρίσκονται σε εξέλιξη σε αμφότερους τους τομείς δραστηριότητας. </w:t>
      </w:r>
      <w:r w:rsidR="004152BD">
        <w:rPr>
          <w:rFonts w:ascii="Aptos" w:hAnsi="Aptos" w:cs="Calibri"/>
        </w:rPr>
        <w:t xml:space="preserve"> </w:t>
      </w:r>
      <w:r w:rsidRPr="00B358D5">
        <w:rPr>
          <w:rFonts w:ascii="Aptos" w:hAnsi="Aptos" w:cs="Calibri"/>
        </w:rPr>
        <w:t xml:space="preserve">Ο Όμιλος συνεχίζει να </w:t>
      </w:r>
      <w:r w:rsidR="00E23E10">
        <w:rPr>
          <w:rFonts w:ascii="Aptos" w:hAnsi="Aptos" w:cs="Calibri"/>
        </w:rPr>
        <w:t>παρακολουθεί</w:t>
      </w:r>
      <w:r w:rsidRPr="00B358D5">
        <w:rPr>
          <w:rFonts w:ascii="Aptos" w:hAnsi="Aptos" w:cs="Calibri"/>
        </w:rPr>
        <w:t xml:space="preserve"> στενά τόσο τα συμβατικά ορόσημα πληρωμών όσο και τους όρους συνεργασίας με τους προμηθευτές του, με </w:t>
      </w:r>
      <w:r w:rsidR="00F91C69">
        <w:rPr>
          <w:rFonts w:ascii="Aptos" w:hAnsi="Aptos" w:cs="Calibri"/>
        </w:rPr>
        <w:t xml:space="preserve">τις ταμειακές ροές </w:t>
      </w:r>
      <w:r w:rsidRPr="00B358D5">
        <w:rPr>
          <w:rFonts w:ascii="Aptos" w:hAnsi="Aptos" w:cs="Calibri"/>
        </w:rPr>
        <w:t>να ακολουθ</w:t>
      </w:r>
      <w:r w:rsidR="00F91C69">
        <w:rPr>
          <w:rFonts w:ascii="Aptos" w:hAnsi="Aptos" w:cs="Calibri"/>
        </w:rPr>
        <w:t xml:space="preserve">ούν </w:t>
      </w:r>
      <w:r w:rsidRPr="00B358D5">
        <w:rPr>
          <w:rFonts w:ascii="Aptos" w:hAnsi="Aptos" w:cs="Calibri"/>
        </w:rPr>
        <w:t>το χρονοδιάγραμμα εκτέλεσης του ανεκτέλεστου υπολοίπου.</w:t>
      </w:r>
    </w:p>
    <w:bookmarkEnd w:id="4"/>
    <w:bookmarkEnd w:id="5"/>
    <w:p w14:paraId="197A93BA" w14:textId="5ACF45BF" w:rsidR="00635231" w:rsidRPr="00E23E10" w:rsidRDefault="00B358D5" w:rsidP="00863033">
      <w:pPr>
        <w:autoSpaceDE w:val="0"/>
        <w:autoSpaceDN w:val="0"/>
        <w:adjustRightInd w:val="0"/>
        <w:spacing w:after="120" w:line="240" w:lineRule="auto"/>
        <w:jc w:val="both"/>
        <w:rPr>
          <w:rFonts w:ascii="Aptos" w:eastAsia="SimSun" w:hAnsi="Aptos" w:cs="Calibri"/>
          <w:b/>
          <w:bCs/>
          <w:color w:val="4F6228"/>
          <w:sz w:val="24"/>
          <w:szCs w:val="24"/>
        </w:rPr>
      </w:pPr>
      <w:r w:rsidRPr="00C07028">
        <w:rPr>
          <w:rFonts w:ascii="Aptos" w:eastAsia="SimSun" w:hAnsi="Aptos" w:cs="Calibri"/>
          <w:b/>
          <w:bCs/>
          <w:color w:val="4F6228"/>
          <w:sz w:val="24"/>
          <w:szCs w:val="24"/>
        </w:rPr>
        <w:t>Οικονομικές επιδόσεις ανά επιχειρηματικό τομέα</w:t>
      </w:r>
    </w:p>
    <w:tbl>
      <w:tblPr>
        <w:tblW w:w="11171" w:type="dxa"/>
        <w:jc w:val="center"/>
        <w:tblLayout w:type="fixed"/>
        <w:tblLook w:val="04A0" w:firstRow="1" w:lastRow="0" w:firstColumn="1" w:lastColumn="0" w:noHBand="0" w:noVBand="1"/>
      </w:tblPr>
      <w:tblGrid>
        <w:gridCol w:w="1419"/>
        <w:gridCol w:w="991"/>
        <w:gridCol w:w="991"/>
        <w:gridCol w:w="992"/>
        <w:gridCol w:w="992"/>
        <w:gridCol w:w="992"/>
        <w:gridCol w:w="994"/>
        <w:gridCol w:w="950"/>
        <w:gridCol w:w="950"/>
        <w:gridCol w:w="950"/>
        <w:gridCol w:w="950"/>
      </w:tblGrid>
      <w:tr w:rsidR="00635231" w:rsidRPr="004F4FC5" w14:paraId="1DCAD06F" w14:textId="77777777" w:rsidTr="004F4FC5">
        <w:trPr>
          <w:trHeight w:val="465"/>
          <w:jc w:val="center"/>
        </w:trPr>
        <w:tc>
          <w:tcPr>
            <w:tcW w:w="1419" w:type="dxa"/>
            <w:tcBorders>
              <w:top w:val="nil"/>
              <w:left w:val="nil"/>
              <w:bottom w:val="single" w:sz="4" w:space="0" w:color="385623" w:themeColor="accent6" w:themeShade="80"/>
              <w:right w:val="dotted" w:sz="4" w:space="0" w:color="385623" w:themeColor="accent6" w:themeShade="80"/>
            </w:tcBorders>
            <w:shd w:val="clear" w:color="000000" w:fill="FFFFFF"/>
            <w:vAlign w:val="center"/>
            <w:hideMark/>
          </w:tcPr>
          <w:p w14:paraId="4BB3AC0D" w14:textId="77777777" w:rsidR="008B0E5C" w:rsidRPr="004F4FC5" w:rsidRDefault="008B0E5C" w:rsidP="008B0E5C">
            <w:pPr>
              <w:spacing w:after="0" w:line="240" w:lineRule="auto"/>
              <w:jc w:val="both"/>
              <w:rPr>
                <w:rFonts w:ascii="Aptos" w:eastAsia="Times New Roman" w:hAnsi="Aptos" w:cstheme="minorHAnsi"/>
                <w:bCs/>
                <w:i/>
                <w:sz w:val="16"/>
                <w:szCs w:val="16"/>
                <w:lang w:eastAsia="el-GR"/>
              </w:rPr>
            </w:pPr>
            <w:r w:rsidRPr="004F4FC5">
              <w:rPr>
                <w:rFonts w:ascii="Aptos" w:eastAsia="Times New Roman" w:hAnsi="Aptos" w:cstheme="minorHAnsi"/>
                <w:bCs/>
                <w:i/>
                <w:sz w:val="16"/>
                <w:szCs w:val="16"/>
                <w:lang w:eastAsia="el-GR"/>
              </w:rPr>
              <w:t>Ποσά σε</w:t>
            </w:r>
          </w:p>
          <w:p w14:paraId="4C3FAFF0" w14:textId="46DC5107" w:rsidR="00635231" w:rsidRPr="004F4FC5" w:rsidRDefault="008B0E5C" w:rsidP="008B0E5C">
            <w:pPr>
              <w:spacing w:after="0" w:line="240" w:lineRule="auto"/>
              <w:jc w:val="both"/>
              <w:rPr>
                <w:rFonts w:ascii="Aptos" w:eastAsia="Times New Roman" w:hAnsi="Aptos" w:cstheme="minorHAnsi"/>
                <w:bCs/>
                <w:i/>
                <w:sz w:val="16"/>
                <w:szCs w:val="16"/>
                <w:lang w:eastAsia="el-GR"/>
              </w:rPr>
            </w:pPr>
            <w:r w:rsidRPr="004F4FC5">
              <w:rPr>
                <w:rFonts w:ascii="Aptos" w:eastAsia="Times New Roman" w:hAnsi="Aptos" w:cstheme="minorHAnsi"/>
                <w:bCs/>
                <w:i/>
                <w:sz w:val="16"/>
                <w:szCs w:val="16"/>
                <w:lang w:eastAsia="el-GR"/>
              </w:rPr>
              <w:t>χιλιάδες ευρώ</w:t>
            </w:r>
          </w:p>
        </w:tc>
        <w:tc>
          <w:tcPr>
            <w:tcW w:w="1982" w:type="dxa"/>
            <w:gridSpan w:val="2"/>
            <w:tcBorders>
              <w:top w:val="nil"/>
              <w:left w:val="dotted" w:sz="4" w:space="0" w:color="385623" w:themeColor="accent6" w:themeShade="80"/>
              <w:bottom w:val="single" w:sz="4" w:space="0" w:color="385623" w:themeColor="accent6" w:themeShade="80"/>
              <w:right w:val="dotted" w:sz="4" w:space="0" w:color="385623" w:themeColor="accent6" w:themeShade="80"/>
            </w:tcBorders>
            <w:shd w:val="clear" w:color="000000" w:fill="FFFFFF"/>
            <w:vAlign w:val="center"/>
            <w:hideMark/>
          </w:tcPr>
          <w:p w14:paraId="424D6813" w14:textId="6D2CFAA4" w:rsidR="00635231" w:rsidRPr="004F4FC5" w:rsidRDefault="008B0E5C" w:rsidP="0050101D">
            <w:pPr>
              <w:spacing w:after="120" w:line="240" w:lineRule="auto"/>
              <w:jc w:val="center"/>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Πωλήσεις</w:t>
            </w:r>
          </w:p>
        </w:tc>
        <w:tc>
          <w:tcPr>
            <w:tcW w:w="1984" w:type="dxa"/>
            <w:gridSpan w:val="2"/>
            <w:tcBorders>
              <w:top w:val="nil"/>
              <w:left w:val="dotted" w:sz="4" w:space="0" w:color="385623" w:themeColor="accent6" w:themeShade="80"/>
              <w:bottom w:val="single" w:sz="4" w:space="0" w:color="385623" w:themeColor="accent6" w:themeShade="80"/>
              <w:right w:val="dotted" w:sz="4" w:space="0" w:color="385623" w:themeColor="accent6" w:themeShade="80"/>
            </w:tcBorders>
            <w:vAlign w:val="center"/>
          </w:tcPr>
          <w:p w14:paraId="2E9E6B3C" w14:textId="77777777" w:rsidR="00635231" w:rsidRPr="004F4FC5" w:rsidRDefault="00635231" w:rsidP="0050101D">
            <w:pPr>
              <w:spacing w:after="120" w:line="240" w:lineRule="auto"/>
              <w:jc w:val="center"/>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EBITDA</w:t>
            </w:r>
          </w:p>
        </w:tc>
        <w:tc>
          <w:tcPr>
            <w:tcW w:w="1986" w:type="dxa"/>
            <w:gridSpan w:val="2"/>
            <w:tcBorders>
              <w:top w:val="nil"/>
              <w:left w:val="dotted" w:sz="4" w:space="0" w:color="385623" w:themeColor="accent6" w:themeShade="80"/>
              <w:bottom w:val="single" w:sz="4" w:space="0" w:color="385623" w:themeColor="accent6" w:themeShade="80"/>
              <w:right w:val="dotted" w:sz="4" w:space="0" w:color="385623" w:themeColor="accent6" w:themeShade="80"/>
            </w:tcBorders>
            <w:shd w:val="clear" w:color="000000" w:fill="FFFFFF"/>
            <w:vAlign w:val="center"/>
            <w:hideMark/>
          </w:tcPr>
          <w:p w14:paraId="0E849778" w14:textId="669BB201" w:rsidR="00635231" w:rsidRPr="004F4FC5" w:rsidRDefault="008B0E5C" w:rsidP="0050101D">
            <w:pPr>
              <w:spacing w:after="120" w:line="240" w:lineRule="auto"/>
              <w:jc w:val="center"/>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α</w:t>
            </w:r>
            <w:r w:rsidR="00635231" w:rsidRPr="004F4FC5">
              <w:rPr>
                <w:rFonts w:ascii="Aptos" w:eastAsia="Times New Roman" w:hAnsi="Aptos" w:cstheme="minorHAnsi"/>
                <w:b/>
                <w:bCs/>
                <w:sz w:val="16"/>
                <w:szCs w:val="16"/>
                <w:lang w:eastAsia="el-GR"/>
              </w:rPr>
              <w:t>-EBITDA</w:t>
            </w:r>
          </w:p>
        </w:tc>
        <w:tc>
          <w:tcPr>
            <w:tcW w:w="1900" w:type="dxa"/>
            <w:gridSpan w:val="2"/>
            <w:tcBorders>
              <w:top w:val="nil"/>
              <w:left w:val="dotted" w:sz="4" w:space="0" w:color="385623" w:themeColor="accent6" w:themeShade="80"/>
              <w:bottom w:val="single" w:sz="4" w:space="0" w:color="385623" w:themeColor="accent6" w:themeShade="80"/>
              <w:right w:val="dotted" w:sz="4" w:space="0" w:color="385623" w:themeColor="accent6" w:themeShade="80"/>
            </w:tcBorders>
            <w:shd w:val="clear" w:color="000000" w:fill="FFFFFF"/>
            <w:vAlign w:val="center"/>
            <w:hideMark/>
          </w:tcPr>
          <w:p w14:paraId="0FB392B1" w14:textId="77777777" w:rsidR="00635231" w:rsidRPr="004F4FC5" w:rsidRDefault="00635231" w:rsidP="0050101D">
            <w:pPr>
              <w:spacing w:after="120" w:line="240" w:lineRule="auto"/>
              <w:jc w:val="center"/>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EBIT</w:t>
            </w:r>
          </w:p>
        </w:tc>
        <w:tc>
          <w:tcPr>
            <w:tcW w:w="1900" w:type="dxa"/>
            <w:gridSpan w:val="2"/>
            <w:tcBorders>
              <w:top w:val="nil"/>
              <w:left w:val="dotted" w:sz="4" w:space="0" w:color="385623" w:themeColor="accent6" w:themeShade="80"/>
              <w:bottom w:val="single" w:sz="4" w:space="0" w:color="385623" w:themeColor="accent6" w:themeShade="80"/>
              <w:right w:val="dotted" w:sz="4" w:space="0" w:color="385623" w:themeColor="accent6" w:themeShade="80"/>
            </w:tcBorders>
            <w:shd w:val="clear" w:color="000000" w:fill="FFFFFF"/>
            <w:vAlign w:val="center"/>
            <w:hideMark/>
          </w:tcPr>
          <w:p w14:paraId="770F3756" w14:textId="7EF7F199" w:rsidR="00635231" w:rsidRPr="004F4FC5" w:rsidRDefault="008B0E5C" w:rsidP="0050101D">
            <w:pPr>
              <w:spacing w:after="120" w:line="240" w:lineRule="auto"/>
              <w:jc w:val="center"/>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Κέρδη προ φόρων</w:t>
            </w:r>
          </w:p>
        </w:tc>
      </w:tr>
      <w:tr w:rsidR="008B0E5C" w:rsidRPr="004F4FC5" w14:paraId="0E009A64" w14:textId="77777777" w:rsidTr="004F4FC5">
        <w:trPr>
          <w:trHeight w:val="255"/>
          <w:jc w:val="center"/>
        </w:trPr>
        <w:tc>
          <w:tcPr>
            <w:tcW w:w="1419" w:type="dxa"/>
            <w:tcBorders>
              <w:top w:val="single" w:sz="4" w:space="0" w:color="385623" w:themeColor="accent6" w:themeShade="80"/>
              <w:left w:val="nil"/>
              <w:bottom w:val="single" w:sz="4" w:space="0" w:color="385623" w:themeColor="accent6" w:themeShade="80"/>
              <w:right w:val="dotted" w:sz="4" w:space="0" w:color="385623" w:themeColor="accent6" w:themeShade="80"/>
            </w:tcBorders>
            <w:shd w:val="clear" w:color="000000" w:fill="FFFFFF"/>
            <w:vAlign w:val="center"/>
            <w:hideMark/>
          </w:tcPr>
          <w:p w14:paraId="08AB0546" w14:textId="49B0A965" w:rsidR="008B0E5C" w:rsidRPr="004F4FC5" w:rsidRDefault="008B0E5C" w:rsidP="008B0E5C">
            <w:pPr>
              <w:spacing w:before="60" w:after="60" w:line="240" w:lineRule="auto"/>
              <w:rPr>
                <w:rFonts w:ascii="Aptos" w:eastAsia="Times New Roman" w:hAnsi="Aptos" w:cstheme="minorHAnsi"/>
                <w:b/>
                <w:bCs/>
                <w:sz w:val="16"/>
                <w:szCs w:val="16"/>
                <w:u w:val="single"/>
                <w:lang w:eastAsia="el-GR"/>
              </w:rPr>
            </w:pPr>
            <w:r w:rsidRPr="004F4FC5">
              <w:rPr>
                <w:rFonts w:ascii="Aptos" w:eastAsia="Times New Roman" w:hAnsi="Aptos" w:cstheme="minorHAnsi"/>
                <w:b/>
                <w:bCs/>
                <w:sz w:val="16"/>
                <w:szCs w:val="16"/>
                <w:u w:val="single"/>
                <w:lang w:eastAsia="el-GR"/>
              </w:rPr>
              <w:t>Τομέας</w:t>
            </w:r>
          </w:p>
        </w:tc>
        <w:tc>
          <w:tcPr>
            <w:tcW w:w="991" w:type="dxa"/>
            <w:tcBorders>
              <w:top w:val="single" w:sz="4" w:space="0" w:color="385623" w:themeColor="accent6" w:themeShade="80"/>
              <w:left w:val="dotted" w:sz="4" w:space="0" w:color="385623" w:themeColor="accent6" w:themeShade="80"/>
              <w:bottom w:val="single" w:sz="4" w:space="0" w:color="385623" w:themeColor="accent6" w:themeShade="80"/>
              <w:right w:val="nil"/>
            </w:tcBorders>
            <w:shd w:val="clear" w:color="auto" w:fill="E2EFD9"/>
            <w:vAlign w:val="center"/>
            <w:hideMark/>
          </w:tcPr>
          <w:p w14:paraId="23F604D4" w14:textId="4F0254B1"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ο</w:t>
            </w:r>
            <w:r w:rsidRPr="004F4FC5">
              <w:rPr>
                <w:rFonts w:ascii="Aptos" w:hAnsi="Aptos" w:cstheme="minorHAnsi"/>
                <w:b/>
                <w:bCs/>
                <w:color w:val="000000"/>
                <w:sz w:val="16"/>
                <w:szCs w:val="16"/>
              </w:rPr>
              <w:t xml:space="preserve"> εξ. 2026</w:t>
            </w:r>
          </w:p>
        </w:tc>
        <w:tc>
          <w:tcPr>
            <w:tcW w:w="991" w:type="dxa"/>
            <w:tcBorders>
              <w:top w:val="single" w:sz="4" w:space="0" w:color="385623" w:themeColor="accent6" w:themeShade="80"/>
              <w:left w:val="nil"/>
              <w:bottom w:val="single" w:sz="4" w:space="0" w:color="385623" w:themeColor="accent6" w:themeShade="80"/>
              <w:right w:val="dotted" w:sz="4" w:space="0" w:color="385623" w:themeColor="accent6" w:themeShade="80"/>
            </w:tcBorders>
            <w:shd w:val="clear" w:color="000000" w:fill="FFFFFF"/>
            <w:vAlign w:val="center"/>
            <w:hideMark/>
          </w:tcPr>
          <w:p w14:paraId="30240DE9" w14:textId="6A9C6293"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 xml:space="preserve">ο </w:t>
            </w:r>
            <w:r w:rsidRPr="004F4FC5">
              <w:rPr>
                <w:rFonts w:ascii="Aptos" w:hAnsi="Aptos" w:cstheme="minorHAnsi"/>
                <w:b/>
                <w:bCs/>
                <w:color w:val="000000"/>
                <w:sz w:val="16"/>
                <w:szCs w:val="16"/>
              </w:rPr>
              <w:t>εξ 2025</w:t>
            </w:r>
          </w:p>
        </w:tc>
        <w:tc>
          <w:tcPr>
            <w:tcW w:w="992" w:type="dxa"/>
            <w:tcBorders>
              <w:top w:val="single" w:sz="4" w:space="0" w:color="385623" w:themeColor="accent6" w:themeShade="80"/>
              <w:left w:val="dotted" w:sz="4" w:space="0" w:color="385623" w:themeColor="accent6" w:themeShade="80"/>
              <w:bottom w:val="single" w:sz="4" w:space="0" w:color="385623" w:themeColor="accent6" w:themeShade="80"/>
              <w:right w:val="nil"/>
            </w:tcBorders>
            <w:shd w:val="clear" w:color="auto" w:fill="E2EFD9"/>
            <w:vAlign w:val="center"/>
          </w:tcPr>
          <w:p w14:paraId="723675C3" w14:textId="2777D6CE"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ο</w:t>
            </w:r>
            <w:r w:rsidRPr="004F4FC5">
              <w:rPr>
                <w:rFonts w:ascii="Aptos" w:hAnsi="Aptos" w:cstheme="minorHAnsi"/>
                <w:b/>
                <w:bCs/>
                <w:color w:val="000000"/>
                <w:sz w:val="16"/>
                <w:szCs w:val="16"/>
              </w:rPr>
              <w:t xml:space="preserve"> εξ. 2026</w:t>
            </w:r>
          </w:p>
        </w:tc>
        <w:tc>
          <w:tcPr>
            <w:tcW w:w="992" w:type="dxa"/>
            <w:tcBorders>
              <w:top w:val="single" w:sz="4" w:space="0" w:color="385623" w:themeColor="accent6" w:themeShade="80"/>
              <w:left w:val="nil"/>
              <w:bottom w:val="single" w:sz="4" w:space="0" w:color="385623" w:themeColor="accent6" w:themeShade="80"/>
              <w:right w:val="dotted" w:sz="4" w:space="0" w:color="385623" w:themeColor="accent6" w:themeShade="80"/>
            </w:tcBorders>
            <w:vAlign w:val="center"/>
          </w:tcPr>
          <w:p w14:paraId="2E50BD0A" w14:textId="4B0719B2"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 xml:space="preserve">ο </w:t>
            </w:r>
            <w:r w:rsidRPr="004F4FC5">
              <w:rPr>
                <w:rFonts w:ascii="Aptos" w:hAnsi="Aptos" w:cstheme="minorHAnsi"/>
                <w:b/>
                <w:bCs/>
                <w:color w:val="000000"/>
                <w:sz w:val="16"/>
                <w:szCs w:val="16"/>
              </w:rPr>
              <w:t>εξ. 2025</w:t>
            </w:r>
          </w:p>
        </w:tc>
        <w:tc>
          <w:tcPr>
            <w:tcW w:w="992" w:type="dxa"/>
            <w:tcBorders>
              <w:top w:val="single" w:sz="4" w:space="0" w:color="385623" w:themeColor="accent6" w:themeShade="80"/>
              <w:left w:val="dotted" w:sz="4" w:space="0" w:color="385623" w:themeColor="accent6" w:themeShade="80"/>
              <w:bottom w:val="single" w:sz="4" w:space="0" w:color="385623" w:themeColor="accent6" w:themeShade="80"/>
              <w:right w:val="nil"/>
            </w:tcBorders>
            <w:shd w:val="clear" w:color="auto" w:fill="E2EFD9"/>
            <w:vAlign w:val="center"/>
          </w:tcPr>
          <w:p w14:paraId="6A710491" w14:textId="3B7861C5"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ο</w:t>
            </w:r>
            <w:r w:rsidRPr="004F4FC5">
              <w:rPr>
                <w:rFonts w:ascii="Aptos" w:hAnsi="Aptos" w:cstheme="minorHAnsi"/>
                <w:b/>
                <w:bCs/>
                <w:color w:val="000000"/>
                <w:sz w:val="16"/>
                <w:szCs w:val="16"/>
              </w:rPr>
              <w:t xml:space="preserve"> εξ. 2026</w:t>
            </w:r>
          </w:p>
        </w:tc>
        <w:tc>
          <w:tcPr>
            <w:tcW w:w="994" w:type="dxa"/>
            <w:tcBorders>
              <w:top w:val="single" w:sz="4" w:space="0" w:color="385623" w:themeColor="accent6" w:themeShade="80"/>
              <w:left w:val="nil"/>
              <w:bottom w:val="single" w:sz="4" w:space="0" w:color="385623" w:themeColor="accent6" w:themeShade="80"/>
              <w:right w:val="dotted" w:sz="4" w:space="0" w:color="385623" w:themeColor="accent6" w:themeShade="80"/>
            </w:tcBorders>
            <w:shd w:val="clear" w:color="000000" w:fill="FFFFFF"/>
            <w:vAlign w:val="center"/>
            <w:hideMark/>
          </w:tcPr>
          <w:p w14:paraId="0CC92A03" w14:textId="7DE77C3D"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 xml:space="preserve">ο </w:t>
            </w:r>
            <w:r w:rsidRPr="004F4FC5">
              <w:rPr>
                <w:rFonts w:ascii="Aptos" w:hAnsi="Aptos" w:cstheme="minorHAnsi"/>
                <w:b/>
                <w:bCs/>
                <w:color w:val="000000"/>
                <w:sz w:val="16"/>
                <w:szCs w:val="16"/>
              </w:rPr>
              <w:t>εξ. 2025</w:t>
            </w:r>
          </w:p>
        </w:tc>
        <w:tc>
          <w:tcPr>
            <w:tcW w:w="950" w:type="dxa"/>
            <w:tcBorders>
              <w:top w:val="single" w:sz="4" w:space="0" w:color="385623" w:themeColor="accent6" w:themeShade="80"/>
              <w:left w:val="dotted" w:sz="4" w:space="0" w:color="385623" w:themeColor="accent6" w:themeShade="80"/>
              <w:bottom w:val="single" w:sz="4" w:space="0" w:color="385623" w:themeColor="accent6" w:themeShade="80"/>
              <w:right w:val="nil"/>
            </w:tcBorders>
            <w:shd w:val="clear" w:color="auto" w:fill="E2EFD9"/>
            <w:vAlign w:val="center"/>
          </w:tcPr>
          <w:p w14:paraId="1C5D67D2" w14:textId="144BA09B"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ο</w:t>
            </w:r>
            <w:r w:rsidRPr="004F4FC5">
              <w:rPr>
                <w:rFonts w:ascii="Aptos" w:hAnsi="Aptos" w:cstheme="minorHAnsi"/>
                <w:b/>
                <w:bCs/>
                <w:color w:val="000000"/>
                <w:sz w:val="16"/>
                <w:szCs w:val="16"/>
              </w:rPr>
              <w:t xml:space="preserve"> εξ. 2026</w:t>
            </w:r>
          </w:p>
        </w:tc>
        <w:tc>
          <w:tcPr>
            <w:tcW w:w="950" w:type="dxa"/>
            <w:tcBorders>
              <w:top w:val="single" w:sz="4" w:space="0" w:color="385623" w:themeColor="accent6" w:themeShade="80"/>
              <w:left w:val="nil"/>
              <w:bottom w:val="single" w:sz="4" w:space="0" w:color="385623" w:themeColor="accent6" w:themeShade="80"/>
              <w:right w:val="dotted" w:sz="4" w:space="0" w:color="385623" w:themeColor="accent6" w:themeShade="80"/>
            </w:tcBorders>
            <w:shd w:val="clear" w:color="000000" w:fill="FFFFFF"/>
            <w:vAlign w:val="center"/>
            <w:hideMark/>
          </w:tcPr>
          <w:p w14:paraId="466495A4" w14:textId="781CDE51"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 xml:space="preserve">ο </w:t>
            </w:r>
            <w:r w:rsidRPr="004F4FC5">
              <w:rPr>
                <w:rFonts w:ascii="Aptos" w:hAnsi="Aptos" w:cstheme="minorHAnsi"/>
                <w:b/>
                <w:bCs/>
                <w:color w:val="000000"/>
                <w:sz w:val="16"/>
                <w:szCs w:val="16"/>
              </w:rPr>
              <w:t>εξ. 2025</w:t>
            </w:r>
          </w:p>
        </w:tc>
        <w:tc>
          <w:tcPr>
            <w:tcW w:w="950" w:type="dxa"/>
            <w:tcBorders>
              <w:top w:val="single" w:sz="4" w:space="0" w:color="385623" w:themeColor="accent6" w:themeShade="80"/>
              <w:left w:val="dotted" w:sz="4" w:space="0" w:color="385623" w:themeColor="accent6" w:themeShade="80"/>
              <w:bottom w:val="single" w:sz="4" w:space="0" w:color="385623" w:themeColor="accent6" w:themeShade="80"/>
              <w:right w:val="nil"/>
            </w:tcBorders>
            <w:shd w:val="clear" w:color="auto" w:fill="E2EFD9"/>
            <w:vAlign w:val="center"/>
          </w:tcPr>
          <w:p w14:paraId="1BCD90D1" w14:textId="345D0C36"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ο</w:t>
            </w:r>
            <w:r w:rsidRPr="004F4FC5">
              <w:rPr>
                <w:rFonts w:ascii="Aptos" w:hAnsi="Aptos" w:cstheme="minorHAnsi"/>
                <w:b/>
                <w:bCs/>
                <w:color w:val="000000"/>
                <w:sz w:val="16"/>
                <w:szCs w:val="16"/>
              </w:rPr>
              <w:t xml:space="preserve"> εξ. 2026</w:t>
            </w:r>
          </w:p>
        </w:tc>
        <w:tc>
          <w:tcPr>
            <w:tcW w:w="950" w:type="dxa"/>
            <w:tcBorders>
              <w:top w:val="single" w:sz="4" w:space="0" w:color="385623" w:themeColor="accent6" w:themeShade="80"/>
              <w:left w:val="nil"/>
              <w:bottom w:val="single" w:sz="4" w:space="0" w:color="385623" w:themeColor="accent6" w:themeShade="80"/>
              <w:right w:val="dotted" w:sz="4" w:space="0" w:color="385623" w:themeColor="accent6" w:themeShade="80"/>
            </w:tcBorders>
            <w:shd w:val="clear" w:color="000000" w:fill="FFFFFF"/>
            <w:vAlign w:val="center"/>
            <w:hideMark/>
          </w:tcPr>
          <w:p w14:paraId="38396C68" w14:textId="3475799B" w:rsidR="008B0E5C" w:rsidRPr="004F4FC5" w:rsidRDefault="008B0E5C" w:rsidP="008B0E5C">
            <w:pPr>
              <w:spacing w:before="60" w:after="60" w:line="240"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Pr="004F4FC5">
              <w:rPr>
                <w:rFonts w:ascii="Aptos" w:hAnsi="Aptos" w:cstheme="minorHAnsi"/>
                <w:b/>
                <w:bCs/>
                <w:color w:val="000000"/>
                <w:sz w:val="16"/>
                <w:szCs w:val="16"/>
                <w:vertAlign w:val="superscript"/>
              </w:rPr>
              <w:t xml:space="preserve">ο </w:t>
            </w:r>
            <w:r w:rsidRPr="004F4FC5">
              <w:rPr>
                <w:rFonts w:ascii="Aptos" w:hAnsi="Aptos" w:cstheme="minorHAnsi"/>
                <w:b/>
                <w:bCs/>
                <w:color w:val="000000"/>
                <w:sz w:val="16"/>
                <w:szCs w:val="16"/>
              </w:rPr>
              <w:t>εξ. 2025</w:t>
            </w:r>
          </w:p>
        </w:tc>
      </w:tr>
      <w:tr w:rsidR="001C6742" w:rsidRPr="004F4FC5" w14:paraId="62D276B5" w14:textId="77777777" w:rsidTr="004F4FC5">
        <w:trPr>
          <w:trHeight w:val="300"/>
          <w:jc w:val="center"/>
        </w:trPr>
        <w:tc>
          <w:tcPr>
            <w:tcW w:w="1419"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hideMark/>
          </w:tcPr>
          <w:p w14:paraId="482FA22E" w14:textId="376764BD" w:rsidR="001C6742" w:rsidRPr="004F4FC5" w:rsidRDefault="008B0E5C" w:rsidP="001C6742">
            <w:pPr>
              <w:spacing w:after="0" w:line="288" w:lineRule="auto"/>
              <w:rPr>
                <w:rFonts w:ascii="Aptos" w:eastAsia="Times New Roman" w:hAnsi="Aptos" w:cstheme="minorHAnsi"/>
                <w:bCs/>
                <w:sz w:val="16"/>
                <w:szCs w:val="16"/>
                <w:lang w:eastAsia="el-GR"/>
              </w:rPr>
            </w:pPr>
            <w:r w:rsidRPr="004F4FC5">
              <w:rPr>
                <w:rFonts w:ascii="Aptos" w:eastAsia="Times New Roman" w:hAnsi="Aptos" w:cstheme="minorHAnsi"/>
                <w:bCs/>
                <w:sz w:val="16"/>
                <w:szCs w:val="16"/>
                <w:lang w:eastAsia="el-GR"/>
              </w:rPr>
              <w:t>Καλώδια</w:t>
            </w:r>
          </w:p>
        </w:tc>
        <w:tc>
          <w:tcPr>
            <w:tcW w:w="991"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666D8CDC" w14:textId="03F605A3"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841</w:t>
            </w:r>
            <w:r w:rsidR="008B0E5C" w:rsidRPr="004F4FC5">
              <w:rPr>
                <w:rFonts w:ascii="Aptos" w:hAnsi="Aptos" w:cstheme="minorHAnsi"/>
                <w:color w:val="000000"/>
                <w:sz w:val="16"/>
                <w:szCs w:val="16"/>
              </w:rPr>
              <w:t>.</w:t>
            </w:r>
            <w:r w:rsidRPr="004F4FC5">
              <w:rPr>
                <w:rFonts w:ascii="Aptos" w:hAnsi="Aptos" w:cstheme="minorHAnsi"/>
                <w:color w:val="000000"/>
                <w:sz w:val="16"/>
                <w:szCs w:val="16"/>
              </w:rPr>
              <w:t>692</w:t>
            </w:r>
          </w:p>
        </w:tc>
        <w:tc>
          <w:tcPr>
            <w:tcW w:w="991"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13C1BF13" w14:textId="37CCBCC2"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742</w:t>
            </w:r>
            <w:r w:rsidR="008B0E5C" w:rsidRPr="004F4FC5">
              <w:rPr>
                <w:rFonts w:ascii="Aptos" w:hAnsi="Aptos" w:cstheme="minorHAnsi"/>
                <w:color w:val="000000"/>
                <w:sz w:val="16"/>
                <w:szCs w:val="16"/>
              </w:rPr>
              <w:t>.</w:t>
            </w:r>
            <w:r w:rsidRPr="004F4FC5">
              <w:rPr>
                <w:rFonts w:ascii="Aptos" w:hAnsi="Aptos" w:cstheme="minorHAnsi"/>
                <w:color w:val="000000"/>
                <w:sz w:val="16"/>
                <w:szCs w:val="16"/>
              </w:rPr>
              <w:t>442</w:t>
            </w:r>
          </w:p>
        </w:tc>
        <w:tc>
          <w:tcPr>
            <w:tcW w:w="992"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vAlign w:val="center"/>
          </w:tcPr>
          <w:p w14:paraId="0ACBE5A4" w14:textId="2B46A6D8"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171</w:t>
            </w:r>
            <w:r w:rsidR="008B0E5C" w:rsidRPr="004F4FC5">
              <w:rPr>
                <w:rFonts w:ascii="Aptos" w:hAnsi="Aptos" w:cstheme="minorHAnsi"/>
                <w:color w:val="000000"/>
                <w:sz w:val="16"/>
                <w:szCs w:val="16"/>
              </w:rPr>
              <w:t>.</w:t>
            </w:r>
            <w:r w:rsidRPr="004F4FC5">
              <w:rPr>
                <w:rFonts w:ascii="Aptos" w:hAnsi="Aptos" w:cstheme="minorHAnsi"/>
                <w:color w:val="000000"/>
                <w:sz w:val="16"/>
                <w:szCs w:val="16"/>
              </w:rPr>
              <w:t>499</w:t>
            </w:r>
          </w:p>
        </w:tc>
        <w:tc>
          <w:tcPr>
            <w:tcW w:w="992" w:type="dxa"/>
            <w:tcBorders>
              <w:top w:val="single" w:sz="4" w:space="0" w:color="538135" w:themeColor="accent6" w:themeShade="BF"/>
              <w:left w:val="nil"/>
              <w:bottom w:val="single" w:sz="4" w:space="0" w:color="538135" w:themeColor="accent6" w:themeShade="BF"/>
              <w:right w:val="dotted" w:sz="4" w:space="0" w:color="385623" w:themeColor="accent6" w:themeShade="80"/>
            </w:tcBorders>
            <w:vAlign w:val="center"/>
          </w:tcPr>
          <w:p w14:paraId="4B357EB9" w14:textId="0141B6F8"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120</w:t>
            </w:r>
            <w:r w:rsidR="008B0E5C" w:rsidRPr="004F4FC5">
              <w:rPr>
                <w:rFonts w:ascii="Aptos" w:hAnsi="Aptos" w:cstheme="minorHAnsi"/>
                <w:color w:val="000000"/>
                <w:sz w:val="16"/>
                <w:szCs w:val="16"/>
              </w:rPr>
              <w:t>.</w:t>
            </w:r>
            <w:r w:rsidRPr="004F4FC5">
              <w:rPr>
                <w:rFonts w:ascii="Aptos" w:hAnsi="Aptos" w:cstheme="minorHAnsi"/>
                <w:color w:val="000000"/>
                <w:sz w:val="16"/>
                <w:szCs w:val="16"/>
              </w:rPr>
              <w:t>943</w:t>
            </w:r>
          </w:p>
        </w:tc>
        <w:tc>
          <w:tcPr>
            <w:tcW w:w="992"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5E4B573F" w14:textId="2BD60F4B"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164</w:t>
            </w:r>
            <w:r w:rsidR="008B0E5C" w:rsidRPr="004F4FC5">
              <w:rPr>
                <w:rFonts w:ascii="Aptos" w:hAnsi="Aptos" w:cstheme="minorHAnsi"/>
                <w:color w:val="000000"/>
                <w:sz w:val="16"/>
                <w:szCs w:val="16"/>
              </w:rPr>
              <w:t>.</w:t>
            </w:r>
            <w:r w:rsidRPr="004F4FC5">
              <w:rPr>
                <w:rFonts w:ascii="Aptos" w:hAnsi="Aptos" w:cstheme="minorHAnsi"/>
                <w:color w:val="000000"/>
                <w:sz w:val="16"/>
                <w:szCs w:val="16"/>
              </w:rPr>
              <w:t>400</w:t>
            </w:r>
          </w:p>
        </w:tc>
        <w:tc>
          <w:tcPr>
            <w:tcW w:w="994"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0B5EF623" w14:textId="65767FE0"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120</w:t>
            </w:r>
            <w:r w:rsidR="008B0E5C" w:rsidRPr="004F4FC5">
              <w:rPr>
                <w:rFonts w:ascii="Aptos" w:hAnsi="Aptos" w:cstheme="minorHAnsi"/>
                <w:color w:val="000000"/>
                <w:sz w:val="16"/>
                <w:szCs w:val="16"/>
              </w:rPr>
              <w:t>.</w:t>
            </w:r>
            <w:r w:rsidRPr="004F4FC5">
              <w:rPr>
                <w:rFonts w:ascii="Aptos" w:hAnsi="Aptos" w:cstheme="minorHAnsi"/>
                <w:color w:val="000000"/>
                <w:sz w:val="16"/>
                <w:szCs w:val="16"/>
              </w:rPr>
              <w:t>665</w:t>
            </w:r>
          </w:p>
        </w:tc>
        <w:tc>
          <w:tcPr>
            <w:tcW w:w="950"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551565EB" w14:textId="485E0619"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154</w:t>
            </w:r>
            <w:r w:rsidR="008B0E5C" w:rsidRPr="004F4FC5">
              <w:rPr>
                <w:rFonts w:ascii="Aptos" w:hAnsi="Aptos" w:cstheme="minorHAnsi"/>
                <w:color w:val="000000"/>
                <w:sz w:val="16"/>
                <w:szCs w:val="16"/>
              </w:rPr>
              <w:t>.</w:t>
            </w:r>
            <w:r w:rsidRPr="004F4FC5">
              <w:rPr>
                <w:rFonts w:ascii="Aptos" w:hAnsi="Aptos" w:cstheme="minorHAnsi"/>
                <w:color w:val="000000"/>
                <w:sz w:val="16"/>
                <w:szCs w:val="16"/>
              </w:rPr>
              <w:t>121</w:t>
            </w:r>
          </w:p>
        </w:tc>
        <w:tc>
          <w:tcPr>
            <w:tcW w:w="950"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30F3D3F8" w14:textId="15904788"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108</w:t>
            </w:r>
            <w:r w:rsidR="008B0E5C" w:rsidRPr="004F4FC5">
              <w:rPr>
                <w:rFonts w:ascii="Aptos" w:hAnsi="Aptos" w:cstheme="minorHAnsi"/>
                <w:color w:val="000000"/>
                <w:sz w:val="16"/>
                <w:szCs w:val="16"/>
              </w:rPr>
              <w:t>.</w:t>
            </w:r>
            <w:r w:rsidRPr="004F4FC5">
              <w:rPr>
                <w:rFonts w:ascii="Aptos" w:hAnsi="Aptos" w:cstheme="minorHAnsi"/>
                <w:color w:val="000000"/>
                <w:sz w:val="16"/>
                <w:szCs w:val="16"/>
              </w:rPr>
              <w:t>185</w:t>
            </w:r>
          </w:p>
        </w:tc>
        <w:tc>
          <w:tcPr>
            <w:tcW w:w="950"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1517A4A4" w14:textId="4E44AB96"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133</w:t>
            </w:r>
            <w:r w:rsidR="008B0E5C" w:rsidRPr="004F4FC5">
              <w:rPr>
                <w:rFonts w:ascii="Aptos" w:hAnsi="Aptos" w:cstheme="minorHAnsi"/>
                <w:color w:val="000000"/>
                <w:sz w:val="16"/>
                <w:szCs w:val="16"/>
              </w:rPr>
              <w:t>.</w:t>
            </w:r>
            <w:r w:rsidRPr="004F4FC5">
              <w:rPr>
                <w:rFonts w:ascii="Aptos" w:hAnsi="Aptos" w:cstheme="minorHAnsi"/>
                <w:color w:val="000000"/>
                <w:sz w:val="16"/>
                <w:szCs w:val="16"/>
              </w:rPr>
              <w:t>288</w:t>
            </w:r>
          </w:p>
        </w:tc>
        <w:tc>
          <w:tcPr>
            <w:tcW w:w="950"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4713EF5C" w14:textId="19F3891A"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87</w:t>
            </w:r>
            <w:r w:rsidR="008B0E5C" w:rsidRPr="004F4FC5">
              <w:rPr>
                <w:rFonts w:ascii="Aptos" w:hAnsi="Aptos" w:cstheme="minorHAnsi"/>
                <w:color w:val="000000"/>
                <w:sz w:val="16"/>
                <w:szCs w:val="16"/>
              </w:rPr>
              <w:t>.</w:t>
            </w:r>
            <w:r w:rsidRPr="004F4FC5">
              <w:rPr>
                <w:rFonts w:ascii="Aptos" w:hAnsi="Aptos" w:cstheme="minorHAnsi"/>
                <w:color w:val="000000"/>
                <w:sz w:val="16"/>
                <w:szCs w:val="16"/>
              </w:rPr>
              <w:t>844</w:t>
            </w:r>
          </w:p>
        </w:tc>
      </w:tr>
      <w:tr w:rsidR="001C6742" w:rsidRPr="004F4FC5" w14:paraId="58745175" w14:textId="77777777" w:rsidTr="004F4FC5">
        <w:trPr>
          <w:trHeight w:val="300"/>
          <w:jc w:val="center"/>
        </w:trPr>
        <w:tc>
          <w:tcPr>
            <w:tcW w:w="1419" w:type="dxa"/>
            <w:tcBorders>
              <w:top w:val="single" w:sz="4" w:space="0" w:color="385623" w:themeColor="accent6" w:themeShade="80"/>
              <w:left w:val="nil"/>
              <w:bottom w:val="single" w:sz="4" w:space="0" w:color="538135" w:themeColor="accent6" w:themeShade="BF"/>
              <w:right w:val="dotted" w:sz="4" w:space="0" w:color="385623" w:themeColor="accent6" w:themeShade="80"/>
            </w:tcBorders>
            <w:shd w:val="clear" w:color="000000" w:fill="FFFFFF"/>
            <w:noWrap/>
            <w:vAlign w:val="center"/>
            <w:hideMark/>
          </w:tcPr>
          <w:p w14:paraId="3F20F93C" w14:textId="39D81E57" w:rsidR="001C6742" w:rsidRPr="004F4FC5" w:rsidRDefault="008B0E5C" w:rsidP="001C6742">
            <w:pPr>
              <w:spacing w:after="0" w:line="288" w:lineRule="auto"/>
              <w:rPr>
                <w:rFonts w:ascii="Aptos" w:eastAsia="Times New Roman" w:hAnsi="Aptos" w:cstheme="minorHAnsi"/>
                <w:bCs/>
                <w:sz w:val="16"/>
                <w:szCs w:val="16"/>
                <w:lang w:eastAsia="el-GR"/>
              </w:rPr>
            </w:pPr>
            <w:r w:rsidRPr="004F4FC5">
              <w:rPr>
                <w:rFonts w:ascii="Aptos" w:eastAsia="Times New Roman" w:hAnsi="Aptos" w:cstheme="minorHAnsi"/>
                <w:bCs/>
                <w:sz w:val="16"/>
                <w:szCs w:val="16"/>
                <w:lang w:eastAsia="el-GR"/>
              </w:rPr>
              <w:t>Σωλήνες Χάλυβα</w:t>
            </w:r>
          </w:p>
        </w:tc>
        <w:tc>
          <w:tcPr>
            <w:tcW w:w="991" w:type="dxa"/>
            <w:tcBorders>
              <w:top w:val="single" w:sz="4" w:space="0" w:color="385623" w:themeColor="accent6" w:themeShade="80"/>
              <w:left w:val="dotted" w:sz="4" w:space="0" w:color="385623" w:themeColor="accent6" w:themeShade="80"/>
              <w:bottom w:val="single" w:sz="4" w:space="0" w:color="538135" w:themeColor="accent6" w:themeShade="BF"/>
              <w:right w:val="nil"/>
            </w:tcBorders>
            <w:shd w:val="clear" w:color="auto" w:fill="E2EFD9"/>
            <w:noWrap/>
            <w:vAlign w:val="center"/>
          </w:tcPr>
          <w:p w14:paraId="6F0659D2" w14:textId="7116FDCD"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311</w:t>
            </w:r>
            <w:r w:rsidR="008B0E5C" w:rsidRPr="004F4FC5">
              <w:rPr>
                <w:rFonts w:ascii="Aptos" w:hAnsi="Aptos" w:cstheme="minorHAnsi"/>
                <w:color w:val="000000"/>
                <w:sz w:val="16"/>
                <w:szCs w:val="16"/>
              </w:rPr>
              <w:t>.</w:t>
            </w:r>
            <w:r w:rsidRPr="004F4FC5">
              <w:rPr>
                <w:rFonts w:ascii="Aptos" w:hAnsi="Aptos" w:cstheme="minorHAnsi"/>
                <w:color w:val="000000"/>
                <w:sz w:val="16"/>
                <w:szCs w:val="16"/>
              </w:rPr>
              <w:t>508</w:t>
            </w:r>
          </w:p>
        </w:tc>
        <w:tc>
          <w:tcPr>
            <w:tcW w:w="991" w:type="dxa"/>
            <w:tcBorders>
              <w:top w:val="single" w:sz="4" w:space="0" w:color="385623" w:themeColor="accent6" w:themeShade="80"/>
              <w:left w:val="nil"/>
              <w:bottom w:val="single" w:sz="4" w:space="0" w:color="538135" w:themeColor="accent6" w:themeShade="BF"/>
              <w:right w:val="dotted" w:sz="4" w:space="0" w:color="385623" w:themeColor="accent6" w:themeShade="80"/>
            </w:tcBorders>
            <w:shd w:val="clear" w:color="000000" w:fill="FFFFFF"/>
            <w:noWrap/>
            <w:vAlign w:val="center"/>
          </w:tcPr>
          <w:p w14:paraId="61B0C420" w14:textId="69E4EFC1"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279</w:t>
            </w:r>
            <w:r w:rsidR="008B0E5C" w:rsidRPr="004F4FC5">
              <w:rPr>
                <w:rFonts w:ascii="Aptos" w:hAnsi="Aptos" w:cstheme="minorHAnsi"/>
                <w:color w:val="000000"/>
                <w:sz w:val="16"/>
                <w:szCs w:val="16"/>
              </w:rPr>
              <w:t>.</w:t>
            </w:r>
            <w:r w:rsidRPr="004F4FC5">
              <w:rPr>
                <w:rFonts w:ascii="Aptos" w:hAnsi="Aptos" w:cstheme="minorHAnsi"/>
                <w:color w:val="000000"/>
                <w:sz w:val="16"/>
                <w:szCs w:val="16"/>
              </w:rPr>
              <w:t>779</w:t>
            </w:r>
          </w:p>
        </w:tc>
        <w:tc>
          <w:tcPr>
            <w:tcW w:w="992" w:type="dxa"/>
            <w:tcBorders>
              <w:top w:val="single" w:sz="4" w:space="0" w:color="385623" w:themeColor="accent6" w:themeShade="80"/>
              <w:left w:val="dotted" w:sz="4" w:space="0" w:color="385623" w:themeColor="accent6" w:themeShade="80"/>
              <w:bottom w:val="single" w:sz="4" w:space="0" w:color="538135" w:themeColor="accent6" w:themeShade="BF"/>
              <w:right w:val="nil"/>
            </w:tcBorders>
            <w:shd w:val="clear" w:color="auto" w:fill="E2EFD9"/>
            <w:vAlign w:val="center"/>
          </w:tcPr>
          <w:p w14:paraId="5560DCC3" w14:textId="29758912"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51</w:t>
            </w:r>
            <w:r w:rsidR="008B0E5C" w:rsidRPr="004F4FC5">
              <w:rPr>
                <w:rFonts w:ascii="Aptos" w:hAnsi="Aptos" w:cstheme="minorHAnsi"/>
                <w:color w:val="000000"/>
                <w:sz w:val="16"/>
                <w:szCs w:val="16"/>
              </w:rPr>
              <w:t>.</w:t>
            </w:r>
            <w:r w:rsidRPr="004F4FC5">
              <w:rPr>
                <w:rFonts w:ascii="Aptos" w:hAnsi="Aptos" w:cstheme="minorHAnsi"/>
                <w:color w:val="000000"/>
                <w:sz w:val="16"/>
                <w:szCs w:val="16"/>
              </w:rPr>
              <w:t>768</w:t>
            </w:r>
          </w:p>
        </w:tc>
        <w:tc>
          <w:tcPr>
            <w:tcW w:w="992" w:type="dxa"/>
            <w:tcBorders>
              <w:top w:val="single" w:sz="4" w:space="0" w:color="385623" w:themeColor="accent6" w:themeShade="80"/>
              <w:left w:val="nil"/>
              <w:bottom w:val="single" w:sz="4" w:space="0" w:color="538135" w:themeColor="accent6" w:themeShade="BF"/>
              <w:right w:val="dotted" w:sz="4" w:space="0" w:color="385623" w:themeColor="accent6" w:themeShade="80"/>
            </w:tcBorders>
            <w:vAlign w:val="center"/>
          </w:tcPr>
          <w:p w14:paraId="0001F637" w14:textId="7103C907"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50</w:t>
            </w:r>
            <w:r w:rsidR="008B0E5C" w:rsidRPr="004F4FC5">
              <w:rPr>
                <w:rFonts w:ascii="Aptos" w:hAnsi="Aptos" w:cstheme="minorHAnsi"/>
                <w:color w:val="000000"/>
                <w:sz w:val="16"/>
                <w:szCs w:val="16"/>
              </w:rPr>
              <w:t>.</w:t>
            </w:r>
            <w:r w:rsidRPr="004F4FC5">
              <w:rPr>
                <w:rFonts w:ascii="Aptos" w:hAnsi="Aptos" w:cstheme="minorHAnsi"/>
                <w:color w:val="000000"/>
                <w:sz w:val="16"/>
                <w:szCs w:val="16"/>
              </w:rPr>
              <w:t>832</w:t>
            </w:r>
          </w:p>
        </w:tc>
        <w:tc>
          <w:tcPr>
            <w:tcW w:w="992" w:type="dxa"/>
            <w:tcBorders>
              <w:top w:val="single" w:sz="4" w:space="0" w:color="385623" w:themeColor="accent6" w:themeShade="80"/>
              <w:left w:val="dotted" w:sz="4" w:space="0" w:color="385623" w:themeColor="accent6" w:themeShade="80"/>
              <w:bottom w:val="single" w:sz="4" w:space="0" w:color="538135" w:themeColor="accent6" w:themeShade="BF"/>
              <w:right w:val="nil"/>
            </w:tcBorders>
            <w:shd w:val="clear" w:color="auto" w:fill="E2EFD9"/>
            <w:noWrap/>
            <w:vAlign w:val="center"/>
          </w:tcPr>
          <w:p w14:paraId="664F597F" w14:textId="28E11C60"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51</w:t>
            </w:r>
            <w:r w:rsidR="008B0E5C" w:rsidRPr="004F4FC5">
              <w:rPr>
                <w:rFonts w:ascii="Aptos" w:hAnsi="Aptos" w:cstheme="minorHAnsi"/>
                <w:color w:val="000000"/>
                <w:sz w:val="16"/>
                <w:szCs w:val="16"/>
              </w:rPr>
              <w:t>.</w:t>
            </w:r>
            <w:r w:rsidRPr="004F4FC5">
              <w:rPr>
                <w:rFonts w:ascii="Aptos" w:hAnsi="Aptos" w:cstheme="minorHAnsi"/>
                <w:color w:val="000000"/>
                <w:sz w:val="16"/>
                <w:szCs w:val="16"/>
              </w:rPr>
              <w:t>768</w:t>
            </w:r>
          </w:p>
        </w:tc>
        <w:tc>
          <w:tcPr>
            <w:tcW w:w="994" w:type="dxa"/>
            <w:tcBorders>
              <w:top w:val="single" w:sz="4" w:space="0" w:color="385623" w:themeColor="accent6" w:themeShade="80"/>
              <w:left w:val="nil"/>
              <w:bottom w:val="single" w:sz="4" w:space="0" w:color="538135" w:themeColor="accent6" w:themeShade="BF"/>
              <w:right w:val="dotted" w:sz="4" w:space="0" w:color="385623" w:themeColor="accent6" w:themeShade="80"/>
            </w:tcBorders>
            <w:shd w:val="clear" w:color="000000" w:fill="FFFFFF"/>
            <w:noWrap/>
            <w:vAlign w:val="center"/>
          </w:tcPr>
          <w:p w14:paraId="0D293BDA" w14:textId="60B95648"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50</w:t>
            </w:r>
            <w:r w:rsidR="008B0E5C" w:rsidRPr="004F4FC5">
              <w:rPr>
                <w:rFonts w:ascii="Aptos" w:hAnsi="Aptos" w:cstheme="minorHAnsi"/>
                <w:color w:val="000000"/>
                <w:sz w:val="16"/>
                <w:szCs w:val="16"/>
              </w:rPr>
              <w:t>.</w:t>
            </w:r>
            <w:r w:rsidRPr="004F4FC5">
              <w:rPr>
                <w:rFonts w:ascii="Aptos" w:hAnsi="Aptos" w:cstheme="minorHAnsi"/>
                <w:color w:val="000000"/>
                <w:sz w:val="16"/>
                <w:szCs w:val="16"/>
              </w:rPr>
              <w:t>809</w:t>
            </w:r>
          </w:p>
        </w:tc>
        <w:tc>
          <w:tcPr>
            <w:tcW w:w="950" w:type="dxa"/>
            <w:tcBorders>
              <w:top w:val="single" w:sz="4" w:space="0" w:color="385623" w:themeColor="accent6" w:themeShade="80"/>
              <w:left w:val="dotted" w:sz="4" w:space="0" w:color="385623" w:themeColor="accent6" w:themeShade="80"/>
              <w:bottom w:val="single" w:sz="4" w:space="0" w:color="538135" w:themeColor="accent6" w:themeShade="BF"/>
              <w:right w:val="nil"/>
            </w:tcBorders>
            <w:shd w:val="clear" w:color="auto" w:fill="E2EFD9"/>
            <w:noWrap/>
            <w:vAlign w:val="center"/>
          </w:tcPr>
          <w:p w14:paraId="01E9CBF4" w14:textId="1BC06C27"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45</w:t>
            </w:r>
            <w:r w:rsidR="008B0E5C" w:rsidRPr="004F4FC5">
              <w:rPr>
                <w:rFonts w:ascii="Aptos" w:hAnsi="Aptos" w:cstheme="minorHAnsi"/>
                <w:color w:val="000000"/>
                <w:sz w:val="16"/>
                <w:szCs w:val="16"/>
              </w:rPr>
              <w:t>.</w:t>
            </w:r>
            <w:r w:rsidRPr="004F4FC5">
              <w:rPr>
                <w:rFonts w:ascii="Aptos" w:hAnsi="Aptos" w:cstheme="minorHAnsi"/>
                <w:color w:val="000000"/>
                <w:sz w:val="16"/>
                <w:szCs w:val="16"/>
              </w:rPr>
              <w:t>371</w:t>
            </w:r>
          </w:p>
        </w:tc>
        <w:tc>
          <w:tcPr>
            <w:tcW w:w="950" w:type="dxa"/>
            <w:tcBorders>
              <w:top w:val="single" w:sz="4" w:space="0" w:color="385623" w:themeColor="accent6" w:themeShade="80"/>
              <w:left w:val="nil"/>
              <w:bottom w:val="single" w:sz="4" w:space="0" w:color="538135" w:themeColor="accent6" w:themeShade="BF"/>
              <w:right w:val="dotted" w:sz="4" w:space="0" w:color="385623" w:themeColor="accent6" w:themeShade="80"/>
            </w:tcBorders>
            <w:shd w:val="clear" w:color="000000" w:fill="FFFFFF"/>
            <w:noWrap/>
            <w:vAlign w:val="center"/>
          </w:tcPr>
          <w:p w14:paraId="0141F423" w14:textId="74B45187"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45</w:t>
            </w:r>
            <w:r w:rsidR="008B0E5C" w:rsidRPr="004F4FC5">
              <w:rPr>
                <w:rFonts w:ascii="Aptos" w:hAnsi="Aptos" w:cstheme="minorHAnsi"/>
                <w:color w:val="000000"/>
                <w:sz w:val="16"/>
                <w:szCs w:val="16"/>
              </w:rPr>
              <w:t>.</w:t>
            </w:r>
            <w:r w:rsidRPr="004F4FC5">
              <w:rPr>
                <w:rFonts w:ascii="Aptos" w:hAnsi="Aptos" w:cstheme="minorHAnsi"/>
                <w:color w:val="000000"/>
                <w:sz w:val="16"/>
                <w:szCs w:val="16"/>
              </w:rPr>
              <w:t>198</w:t>
            </w:r>
          </w:p>
        </w:tc>
        <w:tc>
          <w:tcPr>
            <w:tcW w:w="950" w:type="dxa"/>
            <w:tcBorders>
              <w:top w:val="single" w:sz="4" w:space="0" w:color="385623" w:themeColor="accent6" w:themeShade="80"/>
              <w:left w:val="dotted" w:sz="4" w:space="0" w:color="385623" w:themeColor="accent6" w:themeShade="80"/>
              <w:bottom w:val="single" w:sz="4" w:space="0" w:color="538135" w:themeColor="accent6" w:themeShade="BF"/>
              <w:right w:val="nil"/>
            </w:tcBorders>
            <w:shd w:val="clear" w:color="auto" w:fill="E2EFD9"/>
            <w:noWrap/>
            <w:vAlign w:val="center"/>
          </w:tcPr>
          <w:p w14:paraId="5A3F8170" w14:textId="73171873"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41</w:t>
            </w:r>
            <w:r w:rsidR="008B0E5C" w:rsidRPr="004F4FC5">
              <w:rPr>
                <w:rFonts w:ascii="Aptos" w:hAnsi="Aptos" w:cstheme="minorHAnsi"/>
                <w:color w:val="000000"/>
                <w:sz w:val="16"/>
                <w:szCs w:val="16"/>
              </w:rPr>
              <w:t>.</w:t>
            </w:r>
            <w:r w:rsidRPr="004F4FC5">
              <w:rPr>
                <w:rFonts w:ascii="Aptos" w:hAnsi="Aptos" w:cstheme="minorHAnsi"/>
                <w:color w:val="000000"/>
                <w:sz w:val="16"/>
                <w:szCs w:val="16"/>
              </w:rPr>
              <w:t>108</w:t>
            </w:r>
          </w:p>
        </w:tc>
        <w:tc>
          <w:tcPr>
            <w:tcW w:w="950" w:type="dxa"/>
            <w:tcBorders>
              <w:top w:val="single" w:sz="4" w:space="0" w:color="385623" w:themeColor="accent6" w:themeShade="80"/>
              <w:left w:val="nil"/>
              <w:bottom w:val="single" w:sz="4" w:space="0" w:color="538135" w:themeColor="accent6" w:themeShade="BF"/>
              <w:right w:val="dotted" w:sz="4" w:space="0" w:color="385623" w:themeColor="accent6" w:themeShade="80"/>
            </w:tcBorders>
            <w:shd w:val="clear" w:color="000000" w:fill="FFFFFF"/>
            <w:noWrap/>
            <w:vAlign w:val="center"/>
          </w:tcPr>
          <w:p w14:paraId="5155824B" w14:textId="5CABE190"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40</w:t>
            </w:r>
            <w:r w:rsidR="008B0E5C" w:rsidRPr="004F4FC5">
              <w:rPr>
                <w:rFonts w:ascii="Aptos" w:hAnsi="Aptos" w:cstheme="minorHAnsi"/>
                <w:color w:val="000000"/>
                <w:sz w:val="16"/>
                <w:szCs w:val="16"/>
              </w:rPr>
              <w:t>.</w:t>
            </w:r>
            <w:r w:rsidRPr="004F4FC5">
              <w:rPr>
                <w:rFonts w:ascii="Aptos" w:hAnsi="Aptos" w:cstheme="minorHAnsi"/>
                <w:color w:val="000000"/>
                <w:sz w:val="16"/>
                <w:szCs w:val="16"/>
              </w:rPr>
              <w:t>189</w:t>
            </w:r>
          </w:p>
        </w:tc>
      </w:tr>
      <w:tr w:rsidR="001C6742" w:rsidRPr="004F4FC5" w14:paraId="41DCF138" w14:textId="77777777" w:rsidTr="004F4FC5">
        <w:trPr>
          <w:trHeight w:val="300"/>
          <w:jc w:val="center"/>
        </w:trPr>
        <w:tc>
          <w:tcPr>
            <w:tcW w:w="1419"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hideMark/>
          </w:tcPr>
          <w:p w14:paraId="0165EA06" w14:textId="24693013" w:rsidR="001C6742" w:rsidRPr="004F4FC5" w:rsidRDefault="008B0E5C" w:rsidP="001C6742">
            <w:pPr>
              <w:spacing w:after="0" w:line="288" w:lineRule="auto"/>
              <w:rPr>
                <w:rFonts w:ascii="Aptos" w:eastAsia="Times New Roman" w:hAnsi="Aptos" w:cstheme="minorHAnsi"/>
                <w:bCs/>
                <w:sz w:val="16"/>
                <w:szCs w:val="16"/>
                <w:lang w:eastAsia="el-GR"/>
              </w:rPr>
            </w:pPr>
            <w:r w:rsidRPr="004F4FC5">
              <w:rPr>
                <w:rFonts w:ascii="Aptos" w:eastAsia="Times New Roman" w:hAnsi="Aptos" w:cstheme="minorHAnsi"/>
                <w:bCs/>
                <w:sz w:val="16"/>
                <w:szCs w:val="16"/>
                <w:lang w:eastAsia="el-GR"/>
              </w:rPr>
              <w:t>Λοιπές δραστηριότητες</w:t>
            </w:r>
          </w:p>
        </w:tc>
        <w:tc>
          <w:tcPr>
            <w:tcW w:w="991"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3DCF869A" w14:textId="24AE16C9"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 </w:t>
            </w:r>
          </w:p>
        </w:tc>
        <w:tc>
          <w:tcPr>
            <w:tcW w:w="991"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5D6B920B" w14:textId="45ACE6D3"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 </w:t>
            </w:r>
          </w:p>
        </w:tc>
        <w:tc>
          <w:tcPr>
            <w:tcW w:w="992"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vAlign w:val="center"/>
          </w:tcPr>
          <w:p w14:paraId="02CE9BF9" w14:textId="013CA71E"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(538)</w:t>
            </w:r>
          </w:p>
        </w:tc>
        <w:tc>
          <w:tcPr>
            <w:tcW w:w="992" w:type="dxa"/>
            <w:tcBorders>
              <w:top w:val="single" w:sz="4" w:space="0" w:color="538135" w:themeColor="accent6" w:themeShade="BF"/>
              <w:left w:val="nil"/>
              <w:bottom w:val="single" w:sz="4" w:space="0" w:color="538135" w:themeColor="accent6" w:themeShade="BF"/>
              <w:right w:val="dotted" w:sz="4" w:space="0" w:color="385623" w:themeColor="accent6" w:themeShade="80"/>
            </w:tcBorders>
            <w:vAlign w:val="center"/>
          </w:tcPr>
          <w:p w14:paraId="4B42491E" w14:textId="589C076F"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(526)</w:t>
            </w:r>
          </w:p>
        </w:tc>
        <w:tc>
          <w:tcPr>
            <w:tcW w:w="992"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48FBDD71" w14:textId="51665D42"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(538)</w:t>
            </w:r>
          </w:p>
        </w:tc>
        <w:tc>
          <w:tcPr>
            <w:tcW w:w="994"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016B04DB" w14:textId="3395B9CE"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(526)</w:t>
            </w:r>
          </w:p>
        </w:tc>
        <w:tc>
          <w:tcPr>
            <w:tcW w:w="950"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01A60002" w14:textId="0403CAFF"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(547)</w:t>
            </w:r>
          </w:p>
        </w:tc>
        <w:tc>
          <w:tcPr>
            <w:tcW w:w="950"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585AF3EA" w14:textId="32EC5747"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(533)</w:t>
            </w:r>
          </w:p>
        </w:tc>
        <w:tc>
          <w:tcPr>
            <w:tcW w:w="950" w:type="dxa"/>
            <w:tcBorders>
              <w:top w:val="single" w:sz="4" w:space="0" w:color="538135" w:themeColor="accent6" w:themeShade="BF"/>
              <w:left w:val="dotted" w:sz="4" w:space="0" w:color="385623" w:themeColor="accent6" w:themeShade="80"/>
              <w:bottom w:val="single" w:sz="4" w:space="0" w:color="538135" w:themeColor="accent6" w:themeShade="BF"/>
              <w:right w:val="nil"/>
            </w:tcBorders>
            <w:shd w:val="clear" w:color="auto" w:fill="E2EFD9"/>
            <w:noWrap/>
            <w:vAlign w:val="center"/>
          </w:tcPr>
          <w:p w14:paraId="344C3D46" w14:textId="42BE6208"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2</w:t>
            </w:r>
            <w:r w:rsidR="008B0E5C" w:rsidRPr="004F4FC5">
              <w:rPr>
                <w:rFonts w:ascii="Aptos" w:hAnsi="Aptos" w:cstheme="minorHAnsi"/>
                <w:color w:val="000000"/>
                <w:sz w:val="16"/>
                <w:szCs w:val="16"/>
              </w:rPr>
              <w:t>.</w:t>
            </w:r>
            <w:r w:rsidRPr="004F4FC5">
              <w:rPr>
                <w:rFonts w:ascii="Aptos" w:hAnsi="Aptos" w:cstheme="minorHAnsi"/>
                <w:color w:val="000000"/>
                <w:sz w:val="16"/>
                <w:szCs w:val="16"/>
              </w:rPr>
              <w:t>609</w:t>
            </w:r>
          </w:p>
        </w:tc>
        <w:tc>
          <w:tcPr>
            <w:tcW w:w="950" w:type="dxa"/>
            <w:tcBorders>
              <w:top w:val="single" w:sz="4" w:space="0" w:color="538135" w:themeColor="accent6" w:themeShade="BF"/>
              <w:left w:val="nil"/>
              <w:bottom w:val="single" w:sz="4" w:space="0" w:color="538135" w:themeColor="accent6" w:themeShade="BF"/>
              <w:right w:val="dotted" w:sz="4" w:space="0" w:color="385623" w:themeColor="accent6" w:themeShade="80"/>
            </w:tcBorders>
            <w:shd w:val="clear" w:color="000000" w:fill="FFFFFF"/>
            <w:noWrap/>
            <w:vAlign w:val="center"/>
          </w:tcPr>
          <w:p w14:paraId="6BD768D0" w14:textId="7FAB5474" w:rsidR="001C6742" w:rsidRPr="004F4FC5" w:rsidRDefault="001C6742" w:rsidP="001C6742">
            <w:pPr>
              <w:spacing w:after="0" w:line="288" w:lineRule="auto"/>
              <w:jc w:val="right"/>
              <w:rPr>
                <w:rFonts w:ascii="Aptos" w:hAnsi="Aptos" w:cstheme="minorHAnsi"/>
                <w:color w:val="000000"/>
                <w:sz w:val="16"/>
                <w:szCs w:val="16"/>
              </w:rPr>
            </w:pPr>
            <w:r w:rsidRPr="004F4FC5">
              <w:rPr>
                <w:rFonts w:ascii="Aptos" w:hAnsi="Aptos" w:cstheme="minorHAnsi"/>
                <w:color w:val="000000"/>
                <w:sz w:val="16"/>
                <w:szCs w:val="16"/>
              </w:rPr>
              <w:t>(4</w:t>
            </w:r>
            <w:r w:rsidR="008B0E5C" w:rsidRPr="004F4FC5">
              <w:rPr>
                <w:rFonts w:ascii="Aptos" w:hAnsi="Aptos" w:cstheme="minorHAnsi"/>
                <w:color w:val="000000"/>
                <w:sz w:val="16"/>
                <w:szCs w:val="16"/>
              </w:rPr>
              <w:t>.</w:t>
            </w:r>
            <w:r w:rsidRPr="004F4FC5">
              <w:rPr>
                <w:rFonts w:ascii="Aptos" w:hAnsi="Aptos" w:cstheme="minorHAnsi"/>
                <w:color w:val="000000"/>
                <w:sz w:val="16"/>
                <w:szCs w:val="16"/>
              </w:rPr>
              <w:t>483)</w:t>
            </w:r>
          </w:p>
        </w:tc>
      </w:tr>
      <w:tr w:rsidR="001C6742" w:rsidRPr="004F4FC5" w14:paraId="319F5953" w14:textId="77777777" w:rsidTr="004F4FC5">
        <w:trPr>
          <w:trHeight w:val="300"/>
          <w:jc w:val="center"/>
        </w:trPr>
        <w:tc>
          <w:tcPr>
            <w:tcW w:w="1419" w:type="dxa"/>
            <w:tcBorders>
              <w:top w:val="single" w:sz="4" w:space="0" w:color="538135" w:themeColor="accent6" w:themeShade="BF"/>
              <w:left w:val="nil"/>
              <w:bottom w:val="single" w:sz="4" w:space="0" w:color="385623" w:themeColor="accent6" w:themeShade="80"/>
              <w:right w:val="dotted" w:sz="4" w:space="0" w:color="385623" w:themeColor="accent6" w:themeShade="80"/>
            </w:tcBorders>
            <w:noWrap/>
            <w:vAlign w:val="center"/>
            <w:hideMark/>
          </w:tcPr>
          <w:p w14:paraId="541EBC59" w14:textId="0A099439" w:rsidR="001C6742" w:rsidRPr="004F4FC5" w:rsidRDefault="008B0E5C" w:rsidP="001C6742">
            <w:pPr>
              <w:spacing w:after="0" w:line="288" w:lineRule="auto"/>
              <w:rPr>
                <w:rFonts w:ascii="Aptos" w:eastAsia="Times New Roman" w:hAnsi="Aptos" w:cstheme="minorHAnsi"/>
                <w:b/>
                <w:bCs/>
                <w:sz w:val="16"/>
                <w:szCs w:val="16"/>
                <w:lang w:eastAsia="el-GR"/>
              </w:rPr>
            </w:pPr>
            <w:r w:rsidRPr="004F4FC5">
              <w:rPr>
                <w:rFonts w:ascii="Aptos" w:eastAsia="Times New Roman" w:hAnsi="Aptos" w:cstheme="minorHAnsi"/>
                <w:b/>
                <w:bCs/>
                <w:sz w:val="16"/>
                <w:szCs w:val="16"/>
                <w:lang w:eastAsia="el-GR"/>
              </w:rPr>
              <w:t>Σύνολο</w:t>
            </w:r>
          </w:p>
        </w:tc>
        <w:tc>
          <w:tcPr>
            <w:tcW w:w="991" w:type="dxa"/>
            <w:tcBorders>
              <w:top w:val="single" w:sz="4" w:space="0" w:color="538135" w:themeColor="accent6" w:themeShade="BF"/>
              <w:left w:val="dotted" w:sz="4" w:space="0" w:color="385623" w:themeColor="accent6" w:themeShade="80"/>
              <w:bottom w:val="single" w:sz="4" w:space="0" w:color="385623" w:themeColor="accent6" w:themeShade="80"/>
              <w:right w:val="nil"/>
            </w:tcBorders>
            <w:shd w:val="clear" w:color="auto" w:fill="E2EFD9"/>
            <w:noWrap/>
            <w:vAlign w:val="center"/>
          </w:tcPr>
          <w:p w14:paraId="3A2C755A" w14:textId="6DB5EDB8"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153</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200</w:t>
            </w:r>
          </w:p>
        </w:tc>
        <w:tc>
          <w:tcPr>
            <w:tcW w:w="991" w:type="dxa"/>
            <w:tcBorders>
              <w:top w:val="single" w:sz="4" w:space="0" w:color="538135" w:themeColor="accent6" w:themeShade="BF"/>
              <w:left w:val="nil"/>
              <w:bottom w:val="single" w:sz="4" w:space="0" w:color="385623" w:themeColor="accent6" w:themeShade="80"/>
              <w:right w:val="dotted" w:sz="4" w:space="0" w:color="385623" w:themeColor="accent6" w:themeShade="80"/>
            </w:tcBorders>
            <w:noWrap/>
            <w:vAlign w:val="center"/>
          </w:tcPr>
          <w:p w14:paraId="569EE16C" w14:textId="617588A1"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022</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220</w:t>
            </w:r>
          </w:p>
        </w:tc>
        <w:tc>
          <w:tcPr>
            <w:tcW w:w="992" w:type="dxa"/>
            <w:tcBorders>
              <w:top w:val="single" w:sz="4" w:space="0" w:color="538135" w:themeColor="accent6" w:themeShade="BF"/>
              <w:left w:val="dotted" w:sz="4" w:space="0" w:color="385623" w:themeColor="accent6" w:themeShade="80"/>
              <w:bottom w:val="single" w:sz="4" w:space="0" w:color="385623" w:themeColor="accent6" w:themeShade="80"/>
              <w:right w:val="nil"/>
            </w:tcBorders>
            <w:shd w:val="clear" w:color="auto" w:fill="E2EFD9"/>
            <w:vAlign w:val="center"/>
          </w:tcPr>
          <w:p w14:paraId="283AE35F" w14:textId="43C6C3A9"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222</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729</w:t>
            </w:r>
          </w:p>
        </w:tc>
        <w:tc>
          <w:tcPr>
            <w:tcW w:w="992" w:type="dxa"/>
            <w:tcBorders>
              <w:top w:val="single" w:sz="4" w:space="0" w:color="538135" w:themeColor="accent6" w:themeShade="BF"/>
              <w:left w:val="nil"/>
              <w:bottom w:val="single" w:sz="4" w:space="0" w:color="385623" w:themeColor="accent6" w:themeShade="80"/>
              <w:right w:val="dotted" w:sz="4" w:space="0" w:color="385623" w:themeColor="accent6" w:themeShade="80"/>
            </w:tcBorders>
            <w:vAlign w:val="center"/>
          </w:tcPr>
          <w:p w14:paraId="76318601" w14:textId="1274DCD2"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171</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248</w:t>
            </w:r>
          </w:p>
        </w:tc>
        <w:tc>
          <w:tcPr>
            <w:tcW w:w="992" w:type="dxa"/>
            <w:tcBorders>
              <w:top w:val="single" w:sz="4" w:space="0" w:color="538135" w:themeColor="accent6" w:themeShade="BF"/>
              <w:left w:val="dotted" w:sz="4" w:space="0" w:color="385623" w:themeColor="accent6" w:themeShade="80"/>
              <w:bottom w:val="single" w:sz="4" w:space="0" w:color="385623" w:themeColor="accent6" w:themeShade="80"/>
              <w:right w:val="nil"/>
            </w:tcBorders>
            <w:shd w:val="clear" w:color="auto" w:fill="E2EFD9"/>
            <w:noWrap/>
            <w:vAlign w:val="center"/>
          </w:tcPr>
          <w:p w14:paraId="64EED40A" w14:textId="2C6E9104"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215</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630</w:t>
            </w:r>
          </w:p>
        </w:tc>
        <w:tc>
          <w:tcPr>
            <w:tcW w:w="994" w:type="dxa"/>
            <w:tcBorders>
              <w:top w:val="single" w:sz="4" w:space="0" w:color="538135" w:themeColor="accent6" w:themeShade="BF"/>
              <w:left w:val="nil"/>
              <w:bottom w:val="single" w:sz="4" w:space="0" w:color="385623" w:themeColor="accent6" w:themeShade="80"/>
              <w:right w:val="dotted" w:sz="4" w:space="0" w:color="385623" w:themeColor="accent6" w:themeShade="80"/>
            </w:tcBorders>
            <w:noWrap/>
            <w:vAlign w:val="center"/>
          </w:tcPr>
          <w:p w14:paraId="39497141" w14:textId="20FAEE25"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170</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947</w:t>
            </w:r>
          </w:p>
        </w:tc>
        <w:tc>
          <w:tcPr>
            <w:tcW w:w="950" w:type="dxa"/>
            <w:tcBorders>
              <w:top w:val="single" w:sz="4" w:space="0" w:color="538135" w:themeColor="accent6" w:themeShade="BF"/>
              <w:left w:val="dotted" w:sz="4" w:space="0" w:color="385623" w:themeColor="accent6" w:themeShade="80"/>
              <w:bottom w:val="single" w:sz="4" w:space="0" w:color="385623" w:themeColor="accent6" w:themeShade="80"/>
              <w:right w:val="nil"/>
            </w:tcBorders>
            <w:shd w:val="clear" w:color="auto" w:fill="E2EFD9"/>
            <w:noWrap/>
            <w:vAlign w:val="center"/>
          </w:tcPr>
          <w:p w14:paraId="518A9A7C" w14:textId="20ADC719"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198</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945</w:t>
            </w:r>
          </w:p>
        </w:tc>
        <w:tc>
          <w:tcPr>
            <w:tcW w:w="950" w:type="dxa"/>
            <w:tcBorders>
              <w:top w:val="single" w:sz="4" w:space="0" w:color="538135" w:themeColor="accent6" w:themeShade="BF"/>
              <w:left w:val="nil"/>
              <w:bottom w:val="single" w:sz="4" w:space="0" w:color="385623" w:themeColor="accent6" w:themeShade="80"/>
              <w:right w:val="dotted" w:sz="4" w:space="0" w:color="385623" w:themeColor="accent6" w:themeShade="80"/>
            </w:tcBorders>
            <w:noWrap/>
            <w:vAlign w:val="center"/>
          </w:tcPr>
          <w:p w14:paraId="4D557903" w14:textId="4EF3A227"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152</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850</w:t>
            </w:r>
          </w:p>
        </w:tc>
        <w:tc>
          <w:tcPr>
            <w:tcW w:w="950" w:type="dxa"/>
            <w:tcBorders>
              <w:top w:val="single" w:sz="4" w:space="0" w:color="538135" w:themeColor="accent6" w:themeShade="BF"/>
              <w:left w:val="dotted" w:sz="4" w:space="0" w:color="385623" w:themeColor="accent6" w:themeShade="80"/>
              <w:bottom w:val="single" w:sz="4" w:space="0" w:color="385623" w:themeColor="accent6" w:themeShade="80"/>
              <w:right w:val="nil"/>
            </w:tcBorders>
            <w:shd w:val="clear" w:color="auto" w:fill="E2EFD9"/>
            <w:noWrap/>
            <w:vAlign w:val="center"/>
          </w:tcPr>
          <w:p w14:paraId="63104C7E" w14:textId="1AD7C86E"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177</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006</w:t>
            </w:r>
          </w:p>
        </w:tc>
        <w:tc>
          <w:tcPr>
            <w:tcW w:w="950" w:type="dxa"/>
            <w:tcBorders>
              <w:top w:val="single" w:sz="4" w:space="0" w:color="538135" w:themeColor="accent6" w:themeShade="BF"/>
              <w:left w:val="nil"/>
              <w:bottom w:val="single" w:sz="4" w:space="0" w:color="385623" w:themeColor="accent6" w:themeShade="80"/>
              <w:right w:val="dotted" w:sz="4" w:space="0" w:color="385623" w:themeColor="accent6" w:themeShade="80"/>
            </w:tcBorders>
            <w:noWrap/>
            <w:vAlign w:val="center"/>
          </w:tcPr>
          <w:p w14:paraId="035366E7" w14:textId="64DC88D0" w:rsidR="001C6742" w:rsidRPr="004F4FC5" w:rsidRDefault="001C6742" w:rsidP="001C6742">
            <w:pPr>
              <w:spacing w:after="0" w:line="288" w:lineRule="auto"/>
              <w:jc w:val="right"/>
              <w:rPr>
                <w:rFonts w:ascii="Aptos" w:hAnsi="Aptos" w:cstheme="minorHAnsi"/>
                <w:b/>
                <w:bCs/>
                <w:color w:val="000000"/>
                <w:sz w:val="16"/>
                <w:szCs w:val="16"/>
              </w:rPr>
            </w:pPr>
            <w:r w:rsidRPr="004F4FC5">
              <w:rPr>
                <w:rFonts w:ascii="Aptos" w:hAnsi="Aptos" w:cstheme="minorHAnsi"/>
                <w:b/>
                <w:bCs/>
                <w:color w:val="000000"/>
                <w:sz w:val="16"/>
                <w:szCs w:val="16"/>
              </w:rPr>
              <w:t>123</w:t>
            </w:r>
            <w:r w:rsidR="008B0E5C" w:rsidRPr="004F4FC5">
              <w:rPr>
                <w:rFonts w:ascii="Aptos" w:hAnsi="Aptos" w:cstheme="minorHAnsi"/>
                <w:b/>
                <w:bCs/>
                <w:color w:val="000000"/>
                <w:sz w:val="16"/>
                <w:szCs w:val="16"/>
              </w:rPr>
              <w:t>.</w:t>
            </w:r>
            <w:r w:rsidRPr="004F4FC5">
              <w:rPr>
                <w:rFonts w:ascii="Aptos" w:hAnsi="Aptos" w:cstheme="minorHAnsi"/>
                <w:b/>
                <w:bCs/>
                <w:color w:val="000000"/>
                <w:sz w:val="16"/>
                <w:szCs w:val="16"/>
              </w:rPr>
              <w:t>550</w:t>
            </w:r>
          </w:p>
        </w:tc>
      </w:tr>
    </w:tbl>
    <w:p w14:paraId="5A1B6A16" w14:textId="77777777" w:rsidR="008B0E5C" w:rsidRDefault="008B0E5C" w:rsidP="008B0E5C">
      <w:pPr>
        <w:autoSpaceDE w:val="0"/>
        <w:autoSpaceDN w:val="0"/>
        <w:adjustRightInd w:val="0"/>
        <w:spacing w:after="120" w:line="240" w:lineRule="auto"/>
        <w:jc w:val="both"/>
        <w:rPr>
          <w:rFonts w:eastAsia="SimSun" w:cs="Calibri"/>
          <w:i/>
          <w:color w:val="000000"/>
          <w:sz w:val="16"/>
          <w:szCs w:val="20"/>
        </w:rPr>
      </w:pPr>
      <w:r>
        <w:rPr>
          <w:rFonts w:eastAsia="SimSun" w:cs="Calibri"/>
          <w:i/>
          <w:color w:val="000000"/>
          <w:sz w:val="16"/>
          <w:szCs w:val="20"/>
        </w:rPr>
        <w:t>Πηγή</w:t>
      </w:r>
      <w:r w:rsidRPr="00DD6CCC">
        <w:rPr>
          <w:rFonts w:eastAsia="SimSun" w:cs="Calibri"/>
          <w:i/>
          <w:color w:val="000000"/>
          <w:sz w:val="16"/>
          <w:szCs w:val="20"/>
        </w:rPr>
        <w:t xml:space="preserve">: Συνοπτική Ενοποιημένη Κατάσταση Αποτελεσμάτων (Παράρτημα </w:t>
      </w:r>
      <w:r w:rsidRPr="00DD6CCC">
        <w:rPr>
          <w:rFonts w:eastAsia="SimSun" w:cs="Calibri"/>
          <w:i/>
          <w:color w:val="000000"/>
          <w:sz w:val="16"/>
          <w:szCs w:val="20"/>
          <w:lang w:val="en-GB"/>
        </w:rPr>
        <w:t>A</w:t>
      </w:r>
      <w:r w:rsidRPr="00DD6CCC">
        <w:rPr>
          <w:rFonts w:eastAsia="SimSun" w:cs="Calibri"/>
          <w:i/>
          <w:color w:val="000000"/>
          <w:sz w:val="16"/>
          <w:szCs w:val="20"/>
        </w:rPr>
        <w:t>), Χρηματοοικονομική Πληροφόρηση ανά τομέα(Παράρτημα Β) και ΕΜΑ (Παράρτημα Δ)</w:t>
      </w:r>
    </w:p>
    <w:p w14:paraId="5922C1DC" w14:textId="766CD1D8" w:rsidR="006B4A72" w:rsidRPr="002A3428" w:rsidRDefault="002A3428" w:rsidP="005E0EB8">
      <w:pPr>
        <w:keepNext/>
        <w:keepLines/>
        <w:widowControl w:val="0"/>
        <w:spacing w:after="120" w:line="240" w:lineRule="auto"/>
        <w:jc w:val="both"/>
        <w:outlineLvl w:val="1"/>
        <w:rPr>
          <w:rFonts w:ascii="Aptos" w:eastAsia="SimSun" w:hAnsi="Aptos" w:cs="Calibri"/>
          <w:b/>
          <w:bCs/>
          <w:color w:val="4F6228"/>
          <w:sz w:val="24"/>
          <w:szCs w:val="24"/>
        </w:rPr>
      </w:pPr>
      <w:r>
        <w:rPr>
          <w:rFonts w:ascii="Aptos" w:eastAsia="SimSun" w:hAnsi="Aptos" w:cs="Calibri"/>
          <w:b/>
          <w:bCs/>
          <w:color w:val="4F6228"/>
          <w:sz w:val="24"/>
          <w:szCs w:val="24"/>
        </w:rPr>
        <w:t>Καλώδια</w:t>
      </w:r>
    </w:p>
    <w:p w14:paraId="4B0EE1DF" w14:textId="17CB51AF" w:rsidR="008B0E5C" w:rsidRDefault="008B0E5C" w:rsidP="005E0EB8">
      <w:pPr>
        <w:autoSpaceDE w:val="0"/>
        <w:autoSpaceDN w:val="0"/>
        <w:adjustRightInd w:val="0"/>
        <w:spacing w:after="120" w:line="240" w:lineRule="auto"/>
        <w:jc w:val="both"/>
        <w:rPr>
          <w:rFonts w:ascii="Aptos" w:hAnsi="Aptos" w:cs="Calibri"/>
        </w:rPr>
      </w:pPr>
      <w:bookmarkStart w:id="6" w:name="_Hlk205832804"/>
      <w:bookmarkStart w:id="7" w:name="_Hlk160011057"/>
      <w:r w:rsidRPr="008B0E5C">
        <w:rPr>
          <w:rFonts w:ascii="Aptos" w:hAnsi="Aptos" w:cs="Calibri"/>
        </w:rPr>
        <w:t xml:space="preserve">Ο </w:t>
      </w:r>
      <w:r w:rsidRPr="008B0E5C">
        <w:rPr>
          <w:rFonts w:ascii="Aptos" w:hAnsi="Aptos" w:cs="Calibri"/>
          <w:b/>
          <w:bCs/>
        </w:rPr>
        <w:t>τομέας καλωδίων</w:t>
      </w:r>
      <w:r w:rsidRPr="008B0E5C">
        <w:rPr>
          <w:rFonts w:ascii="Aptos" w:hAnsi="Aptos" w:cs="Calibri"/>
        </w:rPr>
        <w:t xml:space="preserve"> συνέχισε την αναπτυξιακή του πορεία κατά το πρώτο εξάμηνο του 2026, με τις πωλήσεις να ανέρχονται σε 84</w:t>
      </w:r>
      <w:r w:rsidR="00577521">
        <w:rPr>
          <w:rFonts w:ascii="Aptos" w:hAnsi="Aptos" w:cs="Calibri"/>
        </w:rPr>
        <w:t>1,7</w:t>
      </w:r>
      <w:r w:rsidRPr="008B0E5C">
        <w:rPr>
          <w:rFonts w:ascii="Aptos" w:hAnsi="Aptos" w:cs="Calibri"/>
        </w:rPr>
        <w:t xml:space="preserve"> εκατ. ευρώ, αυξημένες κατά 13% σε σχέση με το πρώτο εξάμηνο του 2025. </w:t>
      </w:r>
      <w:r w:rsidR="00AB4CE0" w:rsidRPr="00AB4CE0">
        <w:rPr>
          <w:rFonts w:ascii="Aptos" w:hAnsi="Aptos" w:cs="Calibri"/>
        </w:rPr>
        <w:t>Τα έσοδα από έργα αυξήθηκαν κατά περίπου 9%,</w:t>
      </w:r>
      <w:r w:rsidR="00AB4CE0">
        <w:rPr>
          <w:rFonts w:ascii="Aptos" w:hAnsi="Aptos" w:cs="Calibri"/>
        </w:rPr>
        <w:t xml:space="preserve"> </w:t>
      </w:r>
      <w:r w:rsidRPr="008B0E5C">
        <w:rPr>
          <w:rFonts w:ascii="Aptos" w:hAnsi="Aptos" w:cs="Calibri"/>
        </w:rPr>
        <w:t xml:space="preserve">καθώς </w:t>
      </w:r>
      <w:r w:rsidR="002A3428">
        <w:rPr>
          <w:rFonts w:ascii="Aptos" w:hAnsi="Aptos" w:cs="Calibri"/>
        </w:rPr>
        <w:t>η</w:t>
      </w:r>
      <w:r w:rsidRPr="008B0E5C">
        <w:rPr>
          <w:rFonts w:ascii="Aptos" w:hAnsi="Aptos" w:cs="Calibri"/>
        </w:rPr>
        <w:t xml:space="preserve"> πλήρη</w:t>
      </w:r>
      <w:r w:rsidR="002A3428">
        <w:rPr>
          <w:rFonts w:ascii="Aptos" w:hAnsi="Aptos" w:cs="Calibri"/>
        </w:rPr>
        <w:t>ς</w:t>
      </w:r>
      <w:r w:rsidRPr="008B0E5C">
        <w:rPr>
          <w:rFonts w:ascii="Aptos" w:hAnsi="Aptos" w:cs="Calibri"/>
        </w:rPr>
        <w:t xml:space="preserve"> αξιοποίηση της πρόσφατα ενισχυμένης παραγωγικής δυναμικότητας του εργοστασίου υποβρύχιων καλωδίων στην Κόρινθο επέτρεψε υψηλότερα επίπεδα δραστηριότητας. </w:t>
      </w:r>
      <w:r w:rsidR="00A65F91" w:rsidRPr="006D32CA">
        <w:rPr>
          <w:rFonts w:ascii="Aptos" w:hAnsi="Aptos" w:cs="Calibri"/>
        </w:rPr>
        <w:t xml:space="preserve"> </w:t>
      </w:r>
      <w:r w:rsidRPr="008B0E5C">
        <w:rPr>
          <w:rFonts w:ascii="Aptos" w:hAnsi="Aptos" w:cs="Calibri"/>
        </w:rPr>
        <w:t xml:space="preserve">Παράλληλα, η πρόσθετη δυναμικότητα παραγωγής χερσαίων καλωδίων στο εργοστάσιο της Θήβας εισήλθε σταδιακά σε φάση πλήρους λειτουργίας. </w:t>
      </w:r>
      <w:r w:rsidR="00FA77F4">
        <w:rPr>
          <w:rFonts w:ascii="Aptos" w:hAnsi="Aptos" w:cs="Calibri"/>
        </w:rPr>
        <w:t xml:space="preserve"> </w:t>
      </w:r>
      <w:r w:rsidRPr="008B0E5C">
        <w:rPr>
          <w:rFonts w:ascii="Aptos" w:hAnsi="Aptos" w:cs="Calibri"/>
        </w:rPr>
        <w:t xml:space="preserve">Επιπλέον, </w:t>
      </w:r>
      <w:r w:rsidR="00FA77F4">
        <w:rPr>
          <w:rFonts w:ascii="Aptos" w:hAnsi="Aptos" w:cs="Calibri"/>
        </w:rPr>
        <w:t>τα καλωδιακά</w:t>
      </w:r>
      <w:r w:rsidRPr="008B0E5C">
        <w:rPr>
          <w:rFonts w:ascii="Aptos" w:hAnsi="Aptos" w:cs="Calibri"/>
        </w:rPr>
        <w:t xml:space="preserve"> προϊόντ</w:t>
      </w:r>
      <w:r w:rsidR="00FA77F4">
        <w:rPr>
          <w:rFonts w:ascii="Aptos" w:hAnsi="Aptos" w:cs="Calibri"/>
        </w:rPr>
        <w:t>α</w:t>
      </w:r>
      <w:r w:rsidRPr="008B0E5C">
        <w:rPr>
          <w:rFonts w:ascii="Aptos" w:hAnsi="Aptos" w:cs="Calibri"/>
        </w:rPr>
        <w:t xml:space="preserve"> κατέγραψ</w:t>
      </w:r>
      <w:r w:rsidR="00FA77F4">
        <w:rPr>
          <w:rFonts w:ascii="Aptos" w:hAnsi="Aptos" w:cs="Calibri"/>
        </w:rPr>
        <w:t>αν</w:t>
      </w:r>
      <w:r w:rsidRPr="008B0E5C">
        <w:rPr>
          <w:rFonts w:ascii="Aptos" w:hAnsi="Aptos" w:cs="Calibri"/>
        </w:rPr>
        <w:t xml:space="preserve"> ισχυρ</w:t>
      </w:r>
      <w:r w:rsidR="00FA77F4">
        <w:rPr>
          <w:rFonts w:ascii="Aptos" w:hAnsi="Aptos" w:cs="Calibri"/>
        </w:rPr>
        <w:t>ές</w:t>
      </w:r>
      <w:r w:rsidRPr="008B0E5C">
        <w:rPr>
          <w:rFonts w:ascii="Aptos" w:hAnsi="Aptos" w:cs="Calibri"/>
        </w:rPr>
        <w:t xml:space="preserve"> επ</w:t>
      </w:r>
      <w:r w:rsidR="00FA77F4">
        <w:rPr>
          <w:rFonts w:ascii="Aptos" w:hAnsi="Aptos" w:cs="Calibri"/>
        </w:rPr>
        <w:t xml:space="preserve">ιδόσεις </w:t>
      </w:r>
      <w:r w:rsidRPr="008B0E5C">
        <w:rPr>
          <w:rFonts w:ascii="Aptos" w:hAnsi="Aptos" w:cs="Calibri"/>
        </w:rPr>
        <w:t xml:space="preserve">με </w:t>
      </w:r>
      <w:r w:rsidR="00721C3E">
        <w:rPr>
          <w:rFonts w:ascii="Aptos" w:hAnsi="Aptos" w:cs="Calibri"/>
        </w:rPr>
        <w:t>τον κύκλο εργασιών τους</w:t>
      </w:r>
      <w:r w:rsidRPr="008B0E5C">
        <w:rPr>
          <w:rFonts w:ascii="Aptos" w:hAnsi="Aptos" w:cs="Calibri"/>
        </w:rPr>
        <w:t xml:space="preserve"> να αυξάν</w:t>
      </w:r>
      <w:r w:rsidR="00721C3E">
        <w:rPr>
          <w:rFonts w:ascii="Aptos" w:hAnsi="Aptos" w:cs="Calibri"/>
        </w:rPr>
        <w:t>ε</w:t>
      </w:r>
      <w:r w:rsidRPr="008B0E5C">
        <w:rPr>
          <w:rFonts w:ascii="Aptos" w:hAnsi="Aptos" w:cs="Calibri"/>
        </w:rPr>
        <w:t xml:space="preserve">ται κατά </w:t>
      </w:r>
      <w:r w:rsidR="003936C1">
        <w:rPr>
          <w:rFonts w:ascii="Aptos" w:hAnsi="Aptos" w:cs="Calibri"/>
        </w:rPr>
        <w:t>περίπου</w:t>
      </w:r>
      <w:r w:rsidRPr="008B0E5C">
        <w:rPr>
          <w:rFonts w:ascii="Aptos" w:hAnsi="Aptos" w:cs="Calibri"/>
        </w:rPr>
        <w:t xml:space="preserve"> 20%, υποστηριζόμεν</w:t>
      </w:r>
      <w:r w:rsidR="00721C3E">
        <w:rPr>
          <w:rFonts w:ascii="Aptos" w:hAnsi="Aptos" w:cs="Calibri"/>
        </w:rPr>
        <w:t>ος</w:t>
      </w:r>
      <w:r w:rsidRPr="008B0E5C">
        <w:rPr>
          <w:rFonts w:ascii="Aptos" w:hAnsi="Aptos" w:cs="Calibri"/>
        </w:rPr>
        <w:t xml:space="preserve"> από τη σταθερά υψηλή ζήτηση και τ</w:t>
      </w:r>
      <w:r w:rsidR="00721C3E">
        <w:rPr>
          <w:rFonts w:ascii="Aptos" w:hAnsi="Aptos" w:cs="Calibri"/>
        </w:rPr>
        <w:t xml:space="preserve">ον </w:t>
      </w:r>
      <w:r w:rsidRPr="008B0E5C">
        <w:rPr>
          <w:rFonts w:ascii="Aptos" w:hAnsi="Aptos" w:cs="Calibri"/>
        </w:rPr>
        <w:t>αυξημέν</w:t>
      </w:r>
      <w:r w:rsidR="00721C3E">
        <w:rPr>
          <w:rFonts w:ascii="Aptos" w:hAnsi="Aptos" w:cs="Calibri"/>
        </w:rPr>
        <w:t xml:space="preserve">ο όγκο </w:t>
      </w:r>
      <w:r w:rsidRPr="008B0E5C">
        <w:rPr>
          <w:rFonts w:ascii="Aptos" w:hAnsi="Aptos" w:cs="Calibri"/>
        </w:rPr>
        <w:t>πωλήσε</w:t>
      </w:r>
      <w:r w:rsidR="00721C3E">
        <w:rPr>
          <w:rFonts w:ascii="Aptos" w:hAnsi="Aptos" w:cs="Calibri"/>
        </w:rPr>
        <w:t>ων</w:t>
      </w:r>
      <w:r w:rsidRPr="008B0E5C">
        <w:rPr>
          <w:rFonts w:ascii="Aptos" w:hAnsi="Aptos" w:cs="Calibri"/>
        </w:rPr>
        <w:t xml:space="preserve"> στις βασικές αγορές.</w:t>
      </w:r>
    </w:p>
    <w:p w14:paraId="22E6BB99" w14:textId="54D540F3" w:rsidR="008B0E5C" w:rsidRDefault="008B0E5C" w:rsidP="005E0EB8">
      <w:pPr>
        <w:autoSpaceDE w:val="0"/>
        <w:autoSpaceDN w:val="0"/>
        <w:adjustRightInd w:val="0"/>
        <w:spacing w:after="120" w:line="240" w:lineRule="auto"/>
        <w:jc w:val="both"/>
        <w:rPr>
          <w:rFonts w:ascii="Aptos" w:hAnsi="Aptos" w:cs="Calibri"/>
        </w:rPr>
      </w:pPr>
      <w:r w:rsidRPr="008B0E5C">
        <w:rPr>
          <w:rFonts w:ascii="Aptos" w:hAnsi="Aptos" w:cs="Calibri"/>
        </w:rPr>
        <w:t xml:space="preserve">Το αναπροσαρμοσμένο </w:t>
      </w:r>
      <w:r w:rsidRPr="008B0E5C">
        <w:rPr>
          <w:rFonts w:ascii="Aptos" w:hAnsi="Aptos" w:cs="Calibri"/>
          <w:lang w:val="en-GB"/>
        </w:rPr>
        <w:t>EBITDA</w:t>
      </w:r>
      <w:r w:rsidRPr="008B0E5C">
        <w:rPr>
          <w:rFonts w:ascii="Aptos" w:hAnsi="Aptos" w:cs="Calibri"/>
        </w:rPr>
        <w:t xml:space="preserve"> διαμορφώθηκε σε 164 εκατ. ευρώ, αυξημένο κατά 36% σε σύγκριση με το πρώτο εξάμηνο του 2025, ενώ το αντίστοιχο περιθώριο κέρδους ανήλθε στο 19,5%, έναντι 16,3% την αντίστοιχη περίοδο</w:t>
      </w:r>
      <w:r w:rsidR="00992798">
        <w:rPr>
          <w:rFonts w:ascii="Aptos" w:hAnsi="Aptos" w:cs="Calibri"/>
        </w:rPr>
        <w:t xml:space="preserve"> πέρυσι</w:t>
      </w:r>
      <w:r w:rsidRPr="008B0E5C">
        <w:rPr>
          <w:rFonts w:ascii="Aptos" w:hAnsi="Aptos" w:cs="Calibri"/>
        </w:rPr>
        <w:t xml:space="preserve">. </w:t>
      </w:r>
      <w:r w:rsidR="00A65F91" w:rsidRPr="006D32CA">
        <w:rPr>
          <w:rFonts w:ascii="Aptos" w:hAnsi="Aptos" w:cs="Calibri"/>
        </w:rPr>
        <w:t xml:space="preserve"> </w:t>
      </w:r>
      <w:r w:rsidRPr="002A3428">
        <w:rPr>
          <w:rFonts w:ascii="Aptos" w:hAnsi="Aptos" w:cs="Calibri"/>
        </w:rPr>
        <w:t>Η βελτίωση αυτή οφείλεται κυρίως στο ευνοϊκό μείγμα των έργων που εκτελέστηκαν</w:t>
      </w:r>
      <w:r w:rsidR="006275F0">
        <w:rPr>
          <w:rFonts w:ascii="Aptos" w:hAnsi="Aptos" w:cs="Calibri"/>
        </w:rPr>
        <w:t xml:space="preserve"> και</w:t>
      </w:r>
      <w:r w:rsidRPr="002A3428">
        <w:rPr>
          <w:rFonts w:ascii="Aptos" w:hAnsi="Aptos" w:cs="Calibri"/>
        </w:rPr>
        <w:t xml:space="preserve"> </w:t>
      </w:r>
      <w:r w:rsidR="00A65F91">
        <w:rPr>
          <w:rFonts w:ascii="Aptos" w:hAnsi="Aptos" w:cs="Calibri"/>
        </w:rPr>
        <w:t>σ</w:t>
      </w:r>
      <w:r w:rsidRPr="002A3428">
        <w:rPr>
          <w:rFonts w:ascii="Aptos" w:hAnsi="Aptos" w:cs="Calibri"/>
        </w:rPr>
        <w:t>το στάδιο ωρίμανσης συγκεκριμένων έργων υψηλής προστιθέμενης αξίας.</w:t>
      </w:r>
    </w:p>
    <w:p w14:paraId="20803A69" w14:textId="21A9870E" w:rsidR="006B4A72" w:rsidRPr="008B0E5C" w:rsidRDefault="008B0E5C" w:rsidP="005E0EB8">
      <w:pPr>
        <w:autoSpaceDE w:val="0"/>
        <w:autoSpaceDN w:val="0"/>
        <w:adjustRightInd w:val="0"/>
        <w:spacing w:after="120" w:line="240" w:lineRule="auto"/>
        <w:jc w:val="both"/>
        <w:rPr>
          <w:rFonts w:ascii="Aptos" w:hAnsi="Aptos" w:cs="Calibri"/>
        </w:rPr>
      </w:pPr>
      <w:r w:rsidRPr="008B0E5C">
        <w:rPr>
          <w:rFonts w:ascii="Aptos" w:hAnsi="Aptos" w:cs="Calibri"/>
        </w:rPr>
        <w:t>Κατά το πρώτο εξάμηνο, σημειώθηκε σημαντική πρόοδος στην υλοποίηση μεγάλων έργων</w:t>
      </w:r>
      <w:r w:rsidR="00860C6F">
        <w:rPr>
          <w:rFonts w:ascii="Aptos" w:hAnsi="Aptos" w:cs="Calibri"/>
        </w:rPr>
        <w:t xml:space="preserve"> όπως τα εξής</w:t>
      </w:r>
      <w:r w:rsidRPr="008B0E5C">
        <w:rPr>
          <w:rFonts w:ascii="Aptos" w:hAnsi="Aptos" w:cs="Calibri"/>
        </w:rPr>
        <w:t>:</w:t>
      </w:r>
      <w:r>
        <w:rPr>
          <w:rFonts w:ascii="Aptos" w:hAnsi="Aptos" w:cs="Calibri"/>
        </w:rPr>
        <w:t xml:space="preserve"> </w:t>
      </w:r>
      <w:r w:rsidRPr="008B0E5C">
        <w:rPr>
          <w:rFonts w:ascii="Aptos" w:hAnsi="Aptos" w:cs="Calibri"/>
        </w:rPr>
        <w:t>η ηλεκτρική διασύνδεση των Ιονίων Νήσων,</w:t>
      </w:r>
      <w:r>
        <w:rPr>
          <w:rFonts w:ascii="Aptos" w:hAnsi="Aptos" w:cs="Calibri"/>
        </w:rPr>
        <w:t xml:space="preserve"> </w:t>
      </w:r>
      <w:r w:rsidRPr="008B0E5C">
        <w:rPr>
          <w:rFonts w:ascii="Aptos" w:hAnsi="Aptos" w:cs="Calibri"/>
        </w:rPr>
        <w:t xml:space="preserve">τα υποβρύχια καλώδια για τα υπεράκτια αιολικά πάρκα </w:t>
      </w:r>
      <w:r w:rsidRPr="008B0E5C">
        <w:rPr>
          <w:rFonts w:ascii="Aptos" w:hAnsi="Aptos" w:cs="Calibri"/>
          <w:lang w:val="en-GB"/>
        </w:rPr>
        <w:t>Baltyk</w:t>
      </w:r>
      <w:r w:rsidRPr="008B0E5C">
        <w:rPr>
          <w:rFonts w:ascii="Aptos" w:hAnsi="Aptos" w:cs="Calibri"/>
        </w:rPr>
        <w:t xml:space="preserve"> </w:t>
      </w:r>
      <w:r w:rsidRPr="008B0E5C">
        <w:rPr>
          <w:rFonts w:ascii="Aptos" w:hAnsi="Aptos" w:cs="Calibri"/>
          <w:lang w:val="en-GB"/>
        </w:rPr>
        <w:t>II</w:t>
      </w:r>
      <w:r w:rsidRPr="008B0E5C">
        <w:rPr>
          <w:rFonts w:ascii="Aptos" w:hAnsi="Aptos" w:cs="Calibri"/>
        </w:rPr>
        <w:t xml:space="preserve">, </w:t>
      </w:r>
      <w:r w:rsidRPr="008B0E5C">
        <w:rPr>
          <w:rFonts w:ascii="Aptos" w:hAnsi="Aptos" w:cs="Calibri"/>
          <w:lang w:val="en-GB"/>
        </w:rPr>
        <w:t>Baltyk</w:t>
      </w:r>
      <w:r w:rsidRPr="008B0E5C">
        <w:rPr>
          <w:rFonts w:ascii="Aptos" w:hAnsi="Aptos" w:cs="Calibri"/>
        </w:rPr>
        <w:t xml:space="preserve"> </w:t>
      </w:r>
      <w:r w:rsidRPr="008B0E5C">
        <w:rPr>
          <w:rFonts w:ascii="Aptos" w:hAnsi="Aptos" w:cs="Calibri"/>
          <w:lang w:val="en-GB"/>
        </w:rPr>
        <w:t>III</w:t>
      </w:r>
      <w:r w:rsidRPr="008B0E5C">
        <w:rPr>
          <w:rFonts w:ascii="Aptos" w:hAnsi="Aptos" w:cs="Calibri"/>
        </w:rPr>
        <w:t xml:space="preserve"> και </w:t>
      </w:r>
      <w:r w:rsidRPr="008B0E5C">
        <w:rPr>
          <w:rFonts w:ascii="Aptos" w:hAnsi="Aptos" w:cs="Calibri"/>
          <w:lang w:val="en-GB"/>
        </w:rPr>
        <w:t>Baltica</w:t>
      </w:r>
      <w:r w:rsidRPr="008B0E5C">
        <w:rPr>
          <w:rFonts w:ascii="Aptos" w:hAnsi="Aptos" w:cs="Calibri"/>
        </w:rPr>
        <w:t xml:space="preserve"> 2 στην Πολωνία,</w:t>
      </w:r>
      <w:r>
        <w:rPr>
          <w:rFonts w:ascii="Aptos" w:hAnsi="Aptos" w:cs="Calibri"/>
        </w:rPr>
        <w:t xml:space="preserve"> </w:t>
      </w:r>
      <w:r w:rsidRPr="008B0E5C">
        <w:rPr>
          <w:rFonts w:ascii="Aptos" w:hAnsi="Aptos" w:cs="Calibri"/>
        </w:rPr>
        <w:t xml:space="preserve">η διασύνδεση της ενεργειακής ζώνης </w:t>
      </w:r>
      <w:r w:rsidRPr="008B0E5C">
        <w:rPr>
          <w:rFonts w:ascii="Aptos" w:hAnsi="Aptos" w:cs="Calibri"/>
          <w:lang w:val="en-GB"/>
        </w:rPr>
        <w:t>Princess</w:t>
      </w:r>
      <w:r w:rsidRPr="008B0E5C">
        <w:rPr>
          <w:rFonts w:ascii="Aptos" w:hAnsi="Aptos" w:cs="Calibri"/>
        </w:rPr>
        <w:t xml:space="preserve"> </w:t>
      </w:r>
      <w:r w:rsidRPr="008B0E5C">
        <w:rPr>
          <w:rFonts w:ascii="Aptos" w:hAnsi="Aptos" w:cs="Calibri"/>
          <w:lang w:val="en-GB"/>
        </w:rPr>
        <w:t>Elisabeth</w:t>
      </w:r>
      <w:r w:rsidRPr="008B0E5C">
        <w:rPr>
          <w:rFonts w:ascii="Aptos" w:hAnsi="Aptos" w:cs="Calibri"/>
        </w:rPr>
        <w:t xml:space="preserve"> στο Βέλγιο,</w:t>
      </w:r>
      <w:r>
        <w:rPr>
          <w:rFonts w:ascii="Aptos" w:hAnsi="Aptos" w:cs="Calibri"/>
        </w:rPr>
        <w:t xml:space="preserve"> </w:t>
      </w:r>
      <w:r w:rsidRPr="008B0E5C">
        <w:rPr>
          <w:rFonts w:ascii="Aptos" w:hAnsi="Aptos" w:cs="Calibri"/>
        </w:rPr>
        <w:t xml:space="preserve">τα </w:t>
      </w:r>
      <w:r w:rsidRPr="008B0E5C">
        <w:rPr>
          <w:rFonts w:ascii="Aptos" w:hAnsi="Aptos" w:cs="Calibri"/>
          <w:lang w:val="en-GB"/>
        </w:rPr>
        <w:t>inter</w:t>
      </w:r>
      <w:r w:rsidRPr="008B0E5C">
        <w:rPr>
          <w:rFonts w:ascii="Aptos" w:hAnsi="Aptos" w:cs="Calibri"/>
        </w:rPr>
        <w:t>-</w:t>
      </w:r>
      <w:r w:rsidRPr="008B0E5C">
        <w:rPr>
          <w:rFonts w:ascii="Aptos" w:hAnsi="Aptos" w:cs="Calibri"/>
          <w:lang w:val="en-GB"/>
        </w:rPr>
        <w:t>array</w:t>
      </w:r>
      <w:r w:rsidRPr="008B0E5C">
        <w:rPr>
          <w:rFonts w:ascii="Aptos" w:hAnsi="Aptos" w:cs="Calibri"/>
        </w:rPr>
        <w:t xml:space="preserve"> καλώδια του έργου </w:t>
      </w:r>
      <w:r w:rsidRPr="008B0E5C">
        <w:rPr>
          <w:rFonts w:ascii="Aptos" w:hAnsi="Aptos" w:cs="Calibri"/>
          <w:lang w:val="en-GB"/>
        </w:rPr>
        <w:t>Hornsea</w:t>
      </w:r>
      <w:r w:rsidRPr="008B0E5C">
        <w:rPr>
          <w:rFonts w:ascii="Aptos" w:hAnsi="Aptos" w:cs="Calibri"/>
        </w:rPr>
        <w:t xml:space="preserve"> 3 στο Ηνωμένο Βασίλειο,</w:t>
      </w:r>
      <w:r>
        <w:rPr>
          <w:rFonts w:ascii="Aptos" w:hAnsi="Aptos" w:cs="Calibri"/>
        </w:rPr>
        <w:t xml:space="preserve"> </w:t>
      </w:r>
      <w:r w:rsidRPr="008B0E5C">
        <w:rPr>
          <w:rFonts w:ascii="Aptos" w:hAnsi="Aptos" w:cs="Calibri"/>
        </w:rPr>
        <w:t xml:space="preserve">καθώς και έργα χερσαίων και υποβρύχιων καλωδίων για τη σύνδεση του αιολικού πάρκου </w:t>
      </w:r>
      <w:r w:rsidRPr="008B0E5C">
        <w:rPr>
          <w:rFonts w:ascii="Aptos" w:hAnsi="Aptos" w:cs="Calibri"/>
          <w:lang w:val="en-GB"/>
        </w:rPr>
        <w:t>Gennaker</w:t>
      </w:r>
      <w:r w:rsidRPr="008B0E5C">
        <w:rPr>
          <w:rFonts w:ascii="Aptos" w:hAnsi="Aptos" w:cs="Calibri"/>
        </w:rPr>
        <w:t xml:space="preserve"> στη Γερμανία.</w:t>
      </w:r>
      <w:r w:rsidR="006B4A72" w:rsidRPr="008B0E5C">
        <w:rPr>
          <w:rFonts w:ascii="Aptos" w:hAnsi="Aptos" w:cs="Calibri"/>
        </w:rPr>
        <w:t xml:space="preserve"> </w:t>
      </w:r>
    </w:p>
    <w:p w14:paraId="724D9B18" w14:textId="427617BF" w:rsidR="006B4A72" w:rsidRPr="008B0E5C" w:rsidRDefault="008B0E5C" w:rsidP="005E0EB8">
      <w:pPr>
        <w:autoSpaceDE w:val="0"/>
        <w:autoSpaceDN w:val="0"/>
        <w:adjustRightInd w:val="0"/>
        <w:spacing w:after="120" w:line="240" w:lineRule="auto"/>
        <w:jc w:val="both"/>
        <w:rPr>
          <w:rFonts w:ascii="Aptos" w:hAnsi="Aptos" w:cs="Calibri"/>
        </w:rPr>
      </w:pPr>
      <w:r w:rsidRPr="008B0E5C">
        <w:rPr>
          <w:rFonts w:ascii="Aptos" w:hAnsi="Aptos" w:cs="Calibri"/>
        </w:rPr>
        <w:t xml:space="preserve">Στα τέλη Ιουνίου, η </w:t>
      </w:r>
      <w:r w:rsidRPr="008B0E5C">
        <w:rPr>
          <w:rFonts w:ascii="Aptos" w:hAnsi="Aptos" w:cs="Calibri"/>
          <w:lang w:val="en-GB"/>
        </w:rPr>
        <w:t>Hellenic</w:t>
      </w:r>
      <w:r w:rsidRPr="008B0E5C">
        <w:rPr>
          <w:rFonts w:ascii="Aptos" w:hAnsi="Aptos" w:cs="Calibri"/>
        </w:rPr>
        <w:t xml:space="preserve"> </w:t>
      </w:r>
      <w:r w:rsidRPr="008B0E5C">
        <w:rPr>
          <w:rFonts w:ascii="Aptos" w:hAnsi="Aptos" w:cs="Calibri"/>
          <w:lang w:val="en-GB"/>
        </w:rPr>
        <w:t>Cables</w:t>
      </w:r>
      <w:r w:rsidRPr="008B0E5C">
        <w:rPr>
          <w:rFonts w:ascii="Aptos" w:hAnsi="Aptos" w:cs="Calibri"/>
        </w:rPr>
        <w:t xml:space="preserve"> εξασφάλισε το </w:t>
      </w:r>
      <w:r w:rsidRPr="008B0E5C">
        <w:rPr>
          <w:rFonts w:ascii="Aptos" w:hAnsi="Aptos" w:cs="Calibri"/>
          <w:lang w:val="en-GB"/>
        </w:rPr>
        <w:t>Lot</w:t>
      </w:r>
      <w:r w:rsidRPr="008B0E5C">
        <w:rPr>
          <w:rFonts w:ascii="Aptos" w:hAnsi="Aptos" w:cs="Calibri"/>
        </w:rPr>
        <w:t xml:space="preserve"> </w:t>
      </w:r>
      <w:r w:rsidRPr="008B0E5C">
        <w:rPr>
          <w:rFonts w:ascii="Aptos" w:hAnsi="Aptos" w:cs="Calibri"/>
          <w:lang w:val="en-GB"/>
        </w:rPr>
        <w:t>A</w:t>
      </w:r>
      <w:r w:rsidRPr="008B0E5C">
        <w:rPr>
          <w:rFonts w:ascii="Aptos" w:hAnsi="Aptos" w:cs="Calibri"/>
        </w:rPr>
        <w:t xml:space="preserve"> της συμφωνίας-πλαισίου του ΑΔΜΗΕ, συνολικής αξίας περίπου 1,15 δισ. ευρώ, για την υλοποίηση τεσσάρων μεγάλων νησιωτικών διασυνδέσεων: Θράκη–Λήμνος, Κως–Ρόδος, Λέσβος–Λήμνος και Λέσβος–Χίος. </w:t>
      </w:r>
      <w:r w:rsidR="00501C93" w:rsidRPr="006D32CA">
        <w:rPr>
          <w:rFonts w:ascii="Aptos" w:hAnsi="Aptos" w:cs="Calibri"/>
        </w:rPr>
        <w:t xml:space="preserve"> </w:t>
      </w:r>
      <w:r w:rsidR="001241F7">
        <w:rPr>
          <w:rFonts w:ascii="Aptos" w:hAnsi="Aptos" w:cs="Calibri"/>
          <w:lang w:val="en-US"/>
        </w:rPr>
        <w:t>H</w:t>
      </w:r>
      <w:r w:rsidR="001241F7" w:rsidRPr="001241F7">
        <w:rPr>
          <w:rFonts w:ascii="Aptos" w:hAnsi="Aptos" w:cs="Calibri"/>
        </w:rPr>
        <w:t xml:space="preserve"> </w:t>
      </w:r>
      <w:r w:rsidR="001241F7">
        <w:rPr>
          <w:rFonts w:ascii="Aptos" w:hAnsi="Aptos" w:cs="Calibri"/>
        </w:rPr>
        <w:t xml:space="preserve">ανάθεση </w:t>
      </w:r>
      <w:r w:rsidRPr="008B0E5C">
        <w:rPr>
          <w:rFonts w:ascii="Aptos" w:hAnsi="Aptos" w:cs="Calibri"/>
        </w:rPr>
        <w:t>περιλαμβάνει τη μελέτη, προμήθεια και κατασκευή περίπου 694 χιλιομέτρων υποβρυχίων καλωδίων εναλλασσόμενου ρεύματος 150</w:t>
      </w:r>
      <w:r w:rsidRPr="008B0E5C">
        <w:rPr>
          <w:rFonts w:ascii="Aptos" w:hAnsi="Aptos" w:cs="Calibri"/>
          <w:lang w:val="en-GB"/>
        </w:rPr>
        <w:t>kV</w:t>
      </w:r>
      <w:r w:rsidRPr="008B0E5C">
        <w:rPr>
          <w:rFonts w:ascii="Aptos" w:hAnsi="Aptos" w:cs="Calibri"/>
        </w:rPr>
        <w:t xml:space="preserve"> και 227 χιλιομέτρων</w:t>
      </w:r>
      <w:r w:rsidR="00B16116">
        <w:rPr>
          <w:rFonts w:ascii="Aptos" w:hAnsi="Aptos" w:cs="Calibri"/>
        </w:rPr>
        <w:t xml:space="preserve"> </w:t>
      </w:r>
      <w:r w:rsidRPr="008B0E5C">
        <w:rPr>
          <w:rFonts w:ascii="Aptos" w:hAnsi="Aptos" w:cs="Calibri"/>
        </w:rPr>
        <w:t>χερσαίων καλωδίων 150</w:t>
      </w:r>
      <w:r w:rsidRPr="008B0E5C">
        <w:rPr>
          <w:rFonts w:ascii="Aptos" w:hAnsi="Aptos" w:cs="Calibri"/>
          <w:lang w:val="en-GB"/>
        </w:rPr>
        <w:t>kV</w:t>
      </w:r>
      <w:r w:rsidRPr="008B0E5C">
        <w:rPr>
          <w:rFonts w:ascii="Aptos" w:hAnsi="Aptos" w:cs="Calibri"/>
        </w:rPr>
        <w:t xml:space="preserve">. </w:t>
      </w:r>
      <w:r w:rsidR="00501C93" w:rsidRPr="006D32CA">
        <w:rPr>
          <w:rFonts w:ascii="Aptos" w:hAnsi="Aptos" w:cs="Calibri"/>
        </w:rPr>
        <w:t xml:space="preserve"> </w:t>
      </w:r>
      <w:r w:rsidRPr="008B0E5C">
        <w:rPr>
          <w:rFonts w:ascii="Aptos" w:hAnsi="Aptos" w:cs="Calibri"/>
        </w:rPr>
        <w:t xml:space="preserve">Ως αποτέλεσμα, το </w:t>
      </w:r>
      <w:r w:rsidRPr="008B0E5C">
        <w:rPr>
          <w:rFonts w:ascii="Aptos" w:hAnsi="Aptos" w:cs="Calibri"/>
          <w:b/>
          <w:bCs/>
        </w:rPr>
        <w:t>ανεκτέλεστο υπόλοιπο παραγγελιών του τομέα ανήλθε σε νέο ιστορικ</w:t>
      </w:r>
      <w:r w:rsidR="00992798">
        <w:rPr>
          <w:rFonts w:ascii="Aptos" w:hAnsi="Aptos" w:cs="Calibri"/>
          <w:b/>
          <w:bCs/>
        </w:rPr>
        <w:t>ά</w:t>
      </w:r>
      <w:r w:rsidRPr="008B0E5C">
        <w:rPr>
          <w:rFonts w:ascii="Aptos" w:hAnsi="Aptos" w:cs="Calibri"/>
          <w:b/>
          <w:bCs/>
        </w:rPr>
        <w:t xml:space="preserve"> υψηλό επίπεδο περίπου 3,4 δισ. ευρώ</w:t>
      </w:r>
      <w:r w:rsidRPr="008B0E5C">
        <w:rPr>
          <w:rFonts w:ascii="Aptos" w:hAnsi="Aptos" w:cs="Calibri"/>
        </w:rPr>
        <w:t>.</w:t>
      </w:r>
    </w:p>
    <w:p w14:paraId="2FC22676" w14:textId="2473AE34" w:rsidR="006B4A72" w:rsidRPr="008B0E5C" w:rsidRDefault="008B0E5C" w:rsidP="005E0EB8">
      <w:pPr>
        <w:autoSpaceDE w:val="0"/>
        <w:autoSpaceDN w:val="0"/>
        <w:adjustRightInd w:val="0"/>
        <w:spacing w:after="120" w:line="240" w:lineRule="auto"/>
        <w:jc w:val="both"/>
        <w:rPr>
          <w:rFonts w:ascii="Aptos" w:hAnsi="Aptos" w:cs="Calibri"/>
        </w:rPr>
      </w:pPr>
      <w:r w:rsidRPr="008B0E5C">
        <w:rPr>
          <w:rFonts w:ascii="Aptos" w:hAnsi="Aptos" w:cs="Calibri"/>
        </w:rPr>
        <w:t>Το καθαρό χρηματοοικονομικό κόστος αυξήθηκε οριακά κατά 2% και ανήλθε σε 20,8 εκατ. ευρώ, αντανακλώντας τις αυξημένες ανάγκες χρηματοδότησης που συνδέονται με το επενδυτικό πρόγραμμα και την ενίσχυση της παραγωγικής δυναμικότητας.</w:t>
      </w:r>
      <w:r w:rsidR="00501C93" w:rsidRPr="006D32CA">
        <w:rPr>
          <w:rFonts w:ascii="Aptos" w:hAnsi="Aptos" w:cs="Calibri"/>
        </w:rPr>
        <w:t xml:space="preserve"> </w:t>
      </w:r>
      <w:r w:rsidRPr="008B0E5C">
        <w:rPr>
          <w:rFonts w:ascii="Aptos" w:hAnsi="Aptos" w:cs="Calibri"/>
        </w:rPr>
        <w:t xml:space="preserve"> Τα κέρδη προ φόρων ανήλθαν σε 133 εκατ. ευρώ, έναντι 88 εκατ. ευρώ το πρώτο εξάμηνο του 2025, ενώ τα καθαρά κέρδη μετά από φόρους διαμορφώθηκαν σε 104 εκατ. ευρώ, έναντι 67 εκατ. ευρώ την αντίστοιχη περσινή περίοδο.</w:t>
      </w:r>
    </w:p>
    <w:p w14:paraId="6EFE0C6E" w14:textId="6D9EF1C1" w:rsidR="006B4A72" w:rsidRPr="008B0E5C" w:rsidRDefault="008B0E5C" w:rsidP="005E0EB8">
      <w:pPr>
        <w:autoSpaceDE w:val="0"/>
        <w:autoSpaceDN w:val="0"/>
        <w:adjustRightInd w:val="0"/>
        <w:spacing w:after="120" w:line="240" w:lineRule="auto"/>
        <w:jc w:val="both"/>
        <w:rPr>
          <w:rFonts w:ascii="Aptos" w:hAnsi="Aptos" w:cs="Calibri"/>
        </w:rPr>
      </w:pPr>
      <w:r w:rsidRPr="008B0E5C">
        <w:rPr>
          <w:rFonts w:ascii="Aptos" w:hAnsi="Aptos" w:cs="Calibri"/>
        </w:rPr>
        <w:t xml:space="preserve">Στις 30 Ιουνίου 2026, ο καθαρός δανεισμός του τομέα διαμορφώθηκε σε 472 εκατ. ευρώ, </w:t>
      </w:r>
      <w:r w:rsidR="00820C23">
        <w:rPr>
          <w:rFonts w:ascii="Aptos" w:hAnsi="Aptos" w:cs="Calibri"/>
        </w:rPr>
        <w:t xml:space="preserve">λόγω των συνεχιζόμενων </w:t>
      </w:r>
      <w:r w:rsidRPr="008B0E5C">
        <w:rPr>
          <w:rFonts w:ascii="Aptos" w:hAnsi="Aptos" w:cs="Calibri"/>
        </w:rPr>
        <w:t xml:space="preserve">στρατηγικών επενδύσεων </w:t>
      </w:r>
      <w:r w:rsidR="00820C23">
        <w:rPr>
          <w:rFonts w:ascii="Aptos" w:hAnsi="Aptos" w:cs="Calibri"/>
        </w:rPr>
        <w:t>κ</w:t>
      </w:r>
      <w:r w:rsidRPr="008B0E5C">
        <w:rPr>
          <w:rFonts w:ascii="Aptos" w:hAnsi="Aptos" w:cs="Calibri"/>
        </w:rPr>
        <w:t>αι τ</w:t>
      </w:r>
      <w:r w:rsidR="00820C23">
        <w:rPr>
          <w:rFonts w:ascii="Aptos" w:hAnsi="Aptos" w:cs="Calibri"/>
        </w:rPr>
        <w:t xml:space="preserve">ων </w:t>
      </w:r>
      <w:r w:rsidRPr="008B0E5C">
        <w:rPr>
          <w:rFonts w:ascii="Aptos" w:hAnsi="Aptos" w:cs="Calibri"/>
        </w:rPr>
        <w:t>αυξημέν</w:t>
      </w:r>
      <w:r w:rsidR="00820C23">
        <w:rPr>
          <w:rFonts w:ascii="Aptos" w:hAnsi="Aptos" w:cs="Calibri"/>
        </w:rPr>
        <w:t>ων</w:t>
      </w:r>
      <w:r w:rsidRPr="008B0E5C">
        <w:rPr>
          <w:rFonts w:ascii="Aptos" w:hAnsi="Aptos" w:cs="Calibri"/>
        </w:rPr>
        <w:t xml:space="preserve"> αν</w:t>
      </w:r>
      <w:r w:rsidR="00820C23">
        <w:rPr>
          <w:rFonts w:ascii="Aptos" w:hAnsi="Aptos" w:cs="Calibri"/>
        </w:rPr>
        <w:t xml:space="preserve">αγκών σε </w:t>
      </w:r>
      <w:r w:rsidRPr="008B0E5C">
        <w:rPr>
          <w:rFonts w:ascii="Aptos" w:hAnsi="Aptos" w:cs="Calibri"/>
        </w:rPr>
        <w:t xml:space="preserve">κεφάλαιο κίνησης </w:t>
      </w:r>
      <w:r w:rsidR="00AB4CE0">
        <w:rPr>
          <w:rFonts w:ascii="Aptos" w:hAnsi="Aptos" w:cs="Calibri"/>
        </w:rPr>
        <w:t>ως</w:t>
      </w:r>
      <w:r w:rsidRPr="008B0E5C">
        <w:rPr>
          <w:rFonts w:ascii="Aptos" w:hAnsi="Aptos" w:cs="Calibri"/>
        </w:rPr>
        <w:t xml:space="preserve"> </w:t>
      </w:r>
      <w:r w:rsidR="001241F7">
        <w:rPr>
          <w:rFonts w:ascii="Aptos" w:hAnsi="Aptos" w:cs="Calibri"/>
        </w:rPr>
        <w:t>απόρροια</w:t>
      </w:r>
      <w:r w:rsidRPr="008B0E5C">
        <w:rPr>
          <w:rFonts w:ascii="Aptos" w:hAnsi="Aptos" w:cs="Calibri"/>
        </w:rPr>
        <w:t xml:space="preserve"> τ</w:t>
      </w:r>
      <w:r w:rsidR="001241F7">
        <w:rPr>
          <w:rFonts w:ascii="Aptos" w:hAnsi="Aptos" w:cs="Calibri"/>
        </w:rPr>
        <w:t>ων</w:t>
      </w:r>
      <w:r w:rsidRPr="008B0E5C">
        <w:rPr>
          <w:rFonts w:ascii="Aptos" w:hAnsi="Aptos" w:cs="Calibri"/>
        </w:rPr>
        <w:t xml:space="preserve"> υψηλότερ</w:t>
      </w:r>
      <w:r w:rsidR="001241F7">
        <w:rPr>
          <w:rFonts w:ascii="Aptos" w:hAnsi="Aptos" w:cs="Calibri"/>
        </w:rPr>
        <w:t>ων</w:t>
      </w:r>
      <w:r w:rsidRPr="008B0E5C">
        <w:rPr>
          <w:rFonts w:ascii="Aptos" w:hAnsi="Aptos" w:cs="Calibri"/>
        </w:rPr>
        <w:t xml:space="preserve"> επ</w:t>
      </w:r>
      <w:r w:rsidR="006275F0">
        <w:rPr>
          <w:rFonts w:ascii="Aptos" w:hAnsi="Aptos" w:cs="Calibri"/>
        </w:rPr>
        <w:t>ιπέδων</w:t>
      </w:r>
      <w:r w:rsidRPr="008B0E5C">
        <w:rPr>
          <w:rFonts w:ascii="Aptos" w:hAnsi="Aptos" w:cs="Calibri"/>
        </w:rPr>
        <w:t xml:space="preserve"> δραστηριότητας.</w:t>
      </w:r>
      <w:r>
        <w:rPr>
          <w:rFonts w:ascii="Aptos" w:hAnsi="Aptos" w:cs="Calibri"/>
        </w:rPr>
        <w:t xml:space="preserve"> </w:t>
      </w:r>
      <w:r w:rsidR="00820C23">
        <w:rPr>
          <w:rFonts w:ascii="Aptos" w:hAnsi="Aptos" w:cs="Calibri"/>
        </w:rPr>
        <w:t xml:space="preserve"> </w:t>
      </w:r>
      <w:r w:rsidRPr="008B0E5C">
        <w:rPr>
          <w:rFonts w:ascii="Aptos" w:hAnsi="Aptos" w:cs="Calibri"/>
        </w:rPr>
        <w:t xml:space="preserve">Οι κεφαλαιουχικές δαπάνες ανήλθαν συνολικά σε 137 εκατ. ευρώ και </w:t>
      </w:r>
      <w:r w:rsidR="00DD15D1">
        <w:rPr>
          <w:rFonts w:ascii="Aptos" w:hAnsi="Aptos" w:cs="Calibri"/>
        </w:rPr>
        <w:t>διακρίνονται σε</w:t>
      </w:r>
      <w:r>
        <w:rPr>
          <w:rFonts w:ascii="Aptos" w:hAnsi="Aptos" w:cs="Calibri"/>
        </w:rPr>
        <w:t xml:space="preserve"> </w:t>
      </w:r>
      <w:r w:rsidRPr="008B0E5C">
        <w:rPr>
          <w:rFonts w:ascii="Aptos" w:hAnsi="Aptos" w:cs="Calibri"/>
        </w:rPr>
        <w:t xml:space="preserve">49 εκατ. ευρώ για τη νέα μονάδα παραγωγής χερσαίων καλωδίων στο </w:t>
      </w:r>
      <w:r w:rsidR="00B16116">
        <w:rPr>
          <w:rFonts w:ascii="Aptos" w:hAnsi="Aptos" w:cs="Calibri"/>
          <w:lang w:val="en-US"/>
        </w:rPr>
        <w:t>Maryland</w:t>
      </w:r>
      <w:r w:rsidRPr="008B0E5C">
        <w:rPr>
          <w:rFonts w:ascii="Aptos" w:hAnsi="Aptos" w:cs="Calibri"/>
        </w:rPr>
        <w:t xml:space="preserve"> </w:t>
      </w:r>
      <w:r w:rsidRPr="008B0E5C">
        <w:rPr>
          <w:rFonts w:ascii="Aptos" w:hAnsi="Aptos" w:cs="Calibri"/>
        </w:rPr>
        <w:lastRenderedPageBreak/>
        <w:t>των ΗΠΑ,</w:t>
      </w:r>
      <w:r>
        <w:rPr>
          <w:rFonts w:ascii="Aptos" w:hAnsi="Aptos" w:cs="Calibri"/>
        </w:rPr>
        <w:t xml:space="preserve"> </w:t>
      </w:r>
      <w:r w:rsidRPr="008B0E5C">
        <w:rPr>
          <w:rFonts w:ascii="Aptos" w:hAnsi="Aptos" w:cs="Calibri"/>
        </w:rPr>
        <w:t>5</w:t>
      </w:r>
      <w:r w:rsidR="00AB4CE0">
        <w:rPr>
          <w:rFonts w:ascii="Aptos" w:hAnsi="Aptos" w:cs="Calibri"/>
        </w:rPr>
        <w:t>6</w:t>
      </w:r>
      <w:r w:rsidRPr="008B0E5C">
        <w:rPr>
          <w:rFonts w:ascii="Aptos" w:hAnsi="Aptos" w:cs="Calibri"/>
        </w:rPr>
        <w:t xml:space="preserve"> εκατ. ευρώ για αναβαθμίσεις και επεκτάσεις των μονάδων χερσαίων καλωδίων στη Θήβα και στον Ελεώνα Βοιωτίας,</w:t>
      </w:r>
      <w:r>
        <w:rPr>
          <w:rFonts w:ascii="Aptos" w:hAnsi="Aptos" w:cs="Calibri"/>
        </w:rPr>
        <w:t xml:space="preserve"> </w:t>
      </w:r>
      <w:r w:rsidRPr="008B0E5C">
        <w:rPr>
          <w:rFonts w:ascii="Aptos" w:hAnsi="Aptos" w:cs="Calibri"/>
        </w:rPr>
        <w:t>30 εκατ. ευρώ για το εργοστάσιο υποβρύχιων καλωδίων στην Κόρινθο,</w:t>
      </w:r>
      <w:r>
        <w:rPr>
          <w:rFonts w:ascii="Aptos" w:hAnsi="Aptos" w:cs="Calibri"/>
        </w:rPr>
        <w:t xml:space="preserve"> και </w:t>
      </w:r>
      <w:r w:rsidRPr="008B0E5C">
        <w:rPr>
          <w:rFonts w:ascii="Aptos" w:hAnsi="Aptos" w:cs="Calibri"/>
        </w:rPr>
        <w:t>3 εκατ. ευρώ για βελτιώσεις στο εργοστάσιο του Βουκουρεστίου.</w:t>
      </w:r>
    </w:p>
    <w:bookmarkEnd w:id="6"/>
    <w:bookmarkEnd w:id="7"/>
    <w:p w14:paraId="6530D9FF" w14:textId="68E9F1CB" w:rsidR="00340869" w:rsidRPr="00034DC6" w:rsidRDefault="008B0E5C" w:rsidP="005E0EB8">
      <w:pPr>
        <w:keepNext/>
        <w:keepLines/>
        <w:widowControl w:val="0"/>
        <w:spacing w:after="120" w:line="240" w:lineRule="auto"/>
        <w:jc w:val="both"/>
        <w:outlineLvl w:val="1"/>
        <w:rPr>
          <w:rFonts w:ascii="Aptos" w:eastAsia="SimSun" w:hAnsi="Aptos" w:cs="Calibri"/>
          <w:b/>
          <w:bCs/>
          <w:color w:val="4F6228"/>
          <w:sz w:val="24"/>
          <w:szCs w:val="24"/>
        </w:rPr>
      </w:pPr>
      <w:r>
        <w:rPr>
          <w:rFonts w:ascii="Aptos" w:eastAsia="SimSun" w:hAnsi="Aptos" w:cs="Calibri"/>
          <w:b/>
          <w:bCs/>
          <w:color w:val="4F6228"/>
          <w:sz w:val="24"/>
          <w:szCs w:val="24"/>
        </w:rPr>
        <w:t xml:space="preserve">Σωλήνες </w:t>
      </w:r>
      <w:r w:rsidR="007A3829">
        <w:rPr>
          <w:rFonts w:ascii="Aptos" w:eastAsia="SimSun" w:hAnsi="Aptos" w:cs="Calibri"/>
          <w:b/>
          <w:bCs/>
          <w:color w:val="4F6228"/>
          <w:sz w:val="24"/>
          <w:szCs w:val="24"/>
        </w:rPr>
        <w:t>χ</w:t>
      </w:r>
      <w:r>
        <w:rPr>
          <w:rFonts w:ascii="Aptos" w:eastAsia="SimSun" w:hAnsi="Aptos" w:cs="Calibri"/>
          <w:b/>
          <w:bCs/>
          <w:color w:val="4F6228"/>
          <w:sz w:val="24"/>
          <w:szCs w:val="24"/>
        </w:rPr>
        <w:t>άλυβα</w:t>
      </w:r>
    </w:p>
    <w:p w14:paraId="41F27187" w14:textId="2BECF484" w:rsidR="009D4CE7" w:rsidRPr="00034DC6" w:rsidRDefault="00034DC6" w:rsidP="005E0EB8">
      <w:pPr>
        <w:autoSpaceDE w:val="0"/>
        <w:autoSpaceDN w:val="0"/>
        <w:adjustRightInd w:val="0"/>
        <w:spacing w:after="120" w:line="240" w:lineRule="auto"/>
        <w:jc w:val="both"/>
        <w:rPr>
          <w:rFonts w:ascii="Aptos" w:hAnsi="Aptos" w:cs="Calibri"/>
        </w:rPr>
      </w:pPr>
      <w:bookmarkStart w:id="8" w:name="_Hlk205833410"/>
      <w:r w:rsidRPr="00034DC6">
        <w:rPr>
          <w:rFonts w:ascii="Aptos" w:hAnsi="Aptos" w:cs="Calibri"/>
        </w:rPr>
        <w:t xml:space="preserve">Ο </w:t>
      </w:r>
      <w:r w:rsidRPr="00034DC6">
        <w:rPr>
          <w:rFonts w:ascii="Aptos" w:hAnsi="Aptos" w:cs="Calibri"/>
          <w:b/>
          <w:bCs/>
        </w:rPr>
        <w:t>τομέας σωλήνων χάλυβα</w:t>
      </w:r>
      <w:r w:rsidRPr="00034DC6">
        <w:rPr>
          <w:rFonts w:ascii="Aptos" w:hAnsi="Aptos" w:cs="Calibri"/>
        </w:rPr>
        <w:t xml:space="preserve"> κατέγραψε πωλήσεις ύψους 311,5 εκατ. ευρώ κατά το πρώτο εξάμηνο του 2026</w:t>
      </w:r>
      <w:r w:rsidR="00835BF4">
        <w:rPr>
          <w:rFonts w:ascii="Aptos" w:hAnsi="Aptos" w:cs="Calibri"/>
        </w:rPr>
        <w:t xml:space="preserve"> (</w:t>
      </w:r>
      <w:r w:rsidRPr="00034DC6">
        <w:rPr>
          <w:rFonts w:ascii="Aptos" w:hAnsi="Aptos" w:cs="Calibri"/>
        </w:rPr>
        <w:t>αυξημένες</w:t>
      </w:r>
      <w:r w:rsidR="00835BF4" w:rsidRPr="00835BF4">
        <w:rPr>
          <w:rFonts w:ascii="Aptos" w:hAnsi="Aptos" w:cs="Calibri"/>
        </w:rPr>
        <w:t xml:space="preserve"> </w:t>
      </w:r>
      <w:r w:rsidR="00835BF4" w:rsidRPr="00034DC6">
        <w:rPr>
          <w:rFonts w:ascii="Aptos" w:hAnsi="Aptos" w:cs="Calibri"/>
        </w:rPr>
        <w:t>κατά 11%</w:t>
      </w:r>
      <w:r w:rsidR="00835BF4">
        <w:rPr>
          <w:rFonts w:ascii="Aptos" w:hAnsi="Aptos" w:cs="Calibri"/>
        </w:rPr>
        <w:t xml:space="preserve"> </w:t>
      </w:r>
      <w:r w:rsidR="007D269A">
        <w:rPr>
          <w:rFonts w:ascii="Aptos" w:hAnsi="Aptos" w:cs="Calibri"/>
        </w:rPr>
        <w:t>σε αξία</w:t>
      </w:r>
      <w:r w:rsidR="00835BF4">
        <w:rPr>
          <w:rFonts w:ascii="Aptos" w:hAnsi="Aptos" w:cs="Calibri"/>
        </w:rPr>
        <w:t xml:space="preserve"> και 13% σε όγκο).</w:t>
      </w:r>
      <w:r w:rsidRPr="00034DC6">
        <w:rPr>
          <w:rFonts w:ascii="Aptos" w:hAnsi="Aptos" w:cs="Calibri"/>
        </w:rPr>
        <w:t xml:space="preserve"> </w:t>
      </w:r>
      <w:r w:rsidR="00DD15D1">
        <w:rPr>
          <w:rFonts w:ascii="Aptos" w:hAnsi="Aptos" w:cs="Calibri"/>
        </w:rPr>
        <w:t xml:space="preserve"> </w:t>
      </w:r>
      <w:r w:rsidR="00835BF4" w:rsidRPr="00835BF4">
        <w:rPr>
          <w:rFonts w:ascii="Aptos" w:hAnsi="Aptos" w:cs="Calibri"/>
        </w:rPr>
        <w:t xml:space="preserve">Το </w:t>
      </w:r>
      <w:r w:rsidR="00835BF4">
        <w:rPr>
          <w:rFonts w:ascii="Aptos" w:hAnsi="Aptos" w:cs="Calibri"/>
        </w:rPr>
        <w:t>ανα</w:t>
      </w:r>
      <w:r w:rsidR="00835BF4" w:rsidRPr="00835BF4">
        <w:rPr>
          <w:rFonts w:ascii="Aptos" w:hAnsi="Aptos" w:cs="Calibri"/>
        </w:rPr>
        <w:t xml:space="preserve">προσαρμοσμένο EBITDA σημείωσε μικρή αύξηση και διαμορφώθηκε στα 51,8 εκατ. ευρώ. </w:t>
      </w:r>
      <w:r w:rsidR="00DD15D1">
        <w:rPr>
          <w:rFonts w:ascii="Aptos" w:hAnsi="Aptos" w:cs="Calibri"/>
        </w:rPr>
        <w:t xml:space="preserve"> </w:t>
      </w:r>
      <w:r w:rsidR="00835BF4" w:rsidRPr="00835BF4">
        <w:rPr>
          <w:rFonts w:ascii="Aptos" w:hAnsi="Aptos" w:cs="Calibri"/>
        </w:rPr>
        <w:t xml:space="preserve">Η μεταβολή στο μείγμα πωλήσεων έναντι της αντίστοιχης περσινής περιόδου είχε ως αποτέλεσμα τη διαμόρφωση του περιθωρίου EBITDA στο 16,6%, έναντι των </w:t>
      </w:r>
      <w:r w:rsidR="00DD15D1">
        <w:rPr>
          <w:rFonts w:ascii="Aptos" w:hAnsi="Aptos" w:cs="Calibri"/>
        </w:rPr>
        <w:t>πολύ υψηλότερων</w:t>
      </w:r>
      <w:r w:rsidR="00835BF4" w:rsidRPr="00835BF4">
        <w:rPr>
          <w:rFonts w:ascii="Aptos" w:hAnsi="Aptos" w:cs="Calibri"/>
        </w:rPr>
        <w:t xml:space="preserve"> περιθωρίων που είχαν επιτευχθεί το </w:t>
      </w:r>
      <w:r w:rsidR="00835BF4">
        <w:rPr>
          <w:rFonts w:ascii="Aptos" w:hAnsi="Aptos" w:cs="Calibri"/>
        </w:rPr>
        <w:t>α</w:t>
      </w:r>
      <w:r w:rsidR="00835BF4" w:rsidRPr="00835BF4">
        <w:rPr>
          <w:rFonts w:ascii="Aptos" w:hAnsi="Aptos" w:cs="Calibri"/>
        </w:rPr>
        <w:t>’ εξάμηνο του 2025.</w:t>
      </w:r>
    </w:p>
    <w:p w14:paraId="0CFA22EF" w14:textId="4FEF18C2" w:rsidR="009D4CE7" w:rsidRPr="00034DC6" w:rsidRDefault="00034DC6" w:rsidP="00CF3D0F">
      <w:pPr>
        <w:widowControl w:val="0"/>
        <w:autoSpaceDE w:val="0"/>
        <w:autoSpaceDN w:val="0"/>
        <w:adjustRightInd w:val="0"/>
        <w:spacing w:after="120" w:line="240" w:lineRule="auto"/>
        <w:jc w:val="both"/>
        <w:rPr>
          <w:rFonts w:ascii="Aptos" w:hAnsi="Aptos" w:cs="Calibri"/>
        </w:rPr>
      </w:pPr>
      <w:r w:rsidRPr="00034DC6">
        <w:rPr>
          <w:rFonts w:ascii="Aptos" w:hAnsi="Aptos" w:cs="Calibri"/>
        </w:rPr>
        <w:t>Κατά τη διάρκεια του εξαμήνου, η Σωληνουργεία Κορίνθου παρήγαγε σωλήνες για σημαντικά έργα, μεταξύ των οποίων</w:t>
      </w:r>
      <w:r>
        <w:rPr>
          <w:rFonts w:ascii="Aptos" w:hAnsi="Aptos" w:cs="Calibri"/>
        </w:rPr>
        <w:t xml:space="preserve"> </w:t>
      </w:r>
      <w:r w:rsidRPr="00034DC6">
        <w:rPr>
          <w:rFonts w:ascii="Aptos" w:hAnsi="Aptos" w:cs="Calibri"/>
        </w:rPr>
        <w:t xml:space="preserve">τη διασύνδεση </w:t>
      </w:r>
      <w:r w:rsidR="00DD15D1" w:rsidRPr="00034DC6">
        <w:rPr>
          <w:rFonts w:ascii="Aptos" w:hAnsi="Aptos" w:cs="Calibri"/>
        </w:rPr>
        <w:t xml:space="preserve">φυσικού αερίου </w:t>
      </w:r>
      <w:r w:rsidR="00DD15D1">
        <w:rPr>
          <w:rFonts w:ascii="Aptos" w:hAnsi="Aptos" w:cs="Calibri"/>
        </w:rPr>
        <w:t xml:space="preserve">μεταξύ </w:t>
      </w:r>
      <w:r w:rsidRPr="00034DC6">
        <w:rPr>
          <w:rFonts w:ascii="Aptos" w:hAnsi="Aptos" w:cs="Calibri"/>
        </w:rPr>
        <w:t xml:space="preserve">Ελλάδας </w:t>
      </w:r>
      <w:r w:rsidR="00DD15D1">
        <w:rPr>
          <w:rFonts w:ascii="Aptos" w:hAnsi="Aptos" w:cs="Calibri"/>
        </w:rPr>
        <w:t>και</w:t>
      </w:r>
      <w:r w:rsidRPr="00034DC6">
        <w:rPr>
          <w:rFonts w:ascii="Aptos" w:hAnsi="Aptos" w:cs="Calibri"/>
        </w:rPr>
        <w:t xml:space="preserve"> Βόρειας Μακεδονίας,</w:t>
      </w:r>
      <w:r>
        <w:rPr>
          <w:rFonts w:ascii="Aptos" w:hAnsi="Aptos" w:cs="Calibri"/>
        </w:rPr>
        <w:t xml:space="preserve"> </w:t>
      </w:r>
      <w:r w:rsidRPr="00034DC6">
        <w:rPr>
          <w:rFonts w:ascii="Aptos" w:hAnsi="Aptos" w:cs="Calibri"/>
        </w:rPr>
        <w:t xml:space="preserve">τον αγωγό μεταφοράς </w:t>
      </w:r>
      <w:r w:rsidR="001241F7">
        <w:rPr>
          <w:rFonts w:ascii="Aptos" w:hAnsi="Aptos" w:cs="Calibri"/>
        </w:rPr>
        <w:t>διοξειδίου του άνθρακα</w:t>
      </w:r>
      <w:r w:rsidRPr="00034DC6">
        <w:rPr>
          <w:rFonts w:ascii="Aptos" w:hAnsi="Aptos" w:cs="Calibri"/>
        </w:rPr>
        <w:t xml:space="preserve"> </w:t>
      </w:r>
      <w:r w:rsidR="00894D9D">
        <w:rPr>
          <w:rFonts w:ascii="Aptos" w:hAnsi="Aptos" w:cs="Calibri"/>
        </w:rPr>
        <w:t xml:space="preserve">για το έργο </w:t>
      </w:r>
      <w:r w:rsidRPr="00034DC6">
        <w:rPr>
          <w:rFonts w:ascii="Aptos" w:hAnsi="Aptos" w:cs="Calibri"/>
          <w:lang w:val="en-GB"/>
        </w:rPr>
        <w:t>HyNet</w:t>
      </w:r>
      <w:r w:rsidRPr="00034DC6">
        <w:rPr>
          <w:rFonts w:ascii="Aptos" w:hAnsi="Aptos" w:cs="Calibri"/>
        </w:rPr>
        <w:t xml:space="preserve"> στο</w:t>
      </w:r>
      <w:r w:rsidR="00894D9D">
        <w:rPr>
          <w:rFonts w:ascii="Aptos" w:hAnsi="Aptos" w:cs="Calibri"/>
        </w:rPr>
        <w:t>ν όρμο του Λίβερπουλ</w:t>
      </w:r>
      <w:r w:rsidRPr="00034DC6">
        <w:rPr>
          <w:rFonts w:ascii="Aptos" w:hAnsi="Aptos" w:cs="Calibri"/>
        </w:rPr>
        <w:t>,</w:t>
      </w:r>
      <w:r>
        <w:rPr>
          <w:rFonts w:ascii="Aptos" w:hAnsi="Aptos" w:cs="Calibri"/>
        </w:rPr>
        <w:t xml:space="preserve"> </w:t>
      </w:r>
      <w:r w:rsidRPr="00034DC6">
        <w:rPr>
          <w:rFonts w:ascii="Aptos" w:hAnsi="Aptos" w:cs="Calibri"/>
        </w:rPr>
        <w:t>έργα φυσικού αερίου και δέσμευσης και αποθήκευσης διοξειδίου του άνθρακα (</w:t>
      </w:r>
      <w:r w:rsidRPr="00034DC6">
        <w:rPr>
          <w:rFonts w:ascii="Aptos" w:hAnsi="Aptos" w:cs="Calibri"/>
          <w:lang w:val="en-GB"/>
        </w:rPr>
        <w:t>CCS</w:t>
      </w:r>
      <w:r w:rsidRPr="00034DC6">
        <w:rPr>
          <w:rFonts w:ascii="Aptos" w:hAnsi="Aptos" w:cs="Calibri"/>
        </w:rPr>
        <w:t>) για την ενδοχώρα των ΗΠΑ και τον Κόλπο του Μεξικού,</w:t>
      </w:r>
      <w:r>
        <w:rPr>
          <w:rFonts w:ascii="Aptos" w:hAnsi="Aptos" w:cs="Calibri"/>
        </w:rPr>
        <w:t xml:space="preserve"> </w:t>
      </w:r>
      <w:r w:rsidR="00894D9D">
        <w:rPr>
          <w:rFonts w:ascii="Aptos" w:hAnsi="Aptos" w:cs="Calibri"/>
        </w:rPr>
        <w:t>αλλά</w:t>
      </w:r>
      <w:r w:rsidRPr="00034DC6">
        <w:rPr>
          <w:rFonts w:ascii="Aptos" w:hAnsi="Aptos" w:cs="Calibri"/>
        </w:rPr>
        <w:t xml:space="preserve"> και</w:t>
      </w:r>
      <w:r w:rsidR="001241F7">
        <w:rPr>
          <w:rFonts w:ascii="Aptos" w:hAnsi="Aptos" w:cs="Calibri"/>
        </w:rPr>
        <w:t xml:space="preserve"> παραγωγή σωλήνων για</w:t>
      </w:r>
      <w:r w:rsidRPr="00034DC6">
        <w:rPr>
          <w:rFonts w:ascii="Aptos" w:hAnsi="Aptos" w:cs="Calibri"/>
        </w:rPr>
        <w:t xml:space="preserve"> έργα </w:t>
      </w:r>
      <w:r w:rsidR="001241F7">
        <w:rPr>
          <w:rFonts w:ascii="Aptos" w:hAnsi="Aptos" w:cs="Calibri"/>
        </w:rPr>
        <w:t>σ</w:t>
      </w:r>
      <w:r w:rsidRPr="00034DC6">
        <w:rPr>
          <w:rFonts w:ascii="Aptos" w:hAnsi="Aptos" w:cs="Calibri"/>
        </w:rPr>
        <w:t xml:space="preserve">το Ισραήλ, </w:t>
      </w:r>
      <w:r w:rsidR="001241F7">
        <w:rPr>
          <w:rFonts w:ascii="Aptos" w:hAnsi="Aptos" w:cs="Calibri"/>
        </w:rPr>
        <w:t>σ</w:t>
      </w:r>
      <w:r w:rsidRPr="00034DC6">
        <w:rPr>
          <w:rFonts w:ascii="Aptos" w:hAnsi="Aptos" w:cs="Calibri"/>
        </w:rPr>
        <w:t xml:space="preserve">το Ιράκ, </w:t>
      </w:r>
      <w:r w:rsidR="001241F7">
        <w:rPr>
          <w:rFonts w:ascii="Aptos" w:hAnsi="Aptos" w:cs="Calibri"/>
        </w:rPr>
        <w:t>σ</w:t>
      </w:r>
      <w:r w:rsidRPr="00034DC6">
        <w:rPr>
          <w:rFonts w:ascii="Aptos" w:hAnsi="Aptos" w:cs="Calibri"/>
        </w:rPr>
        <w:t xml:space="preserve">το Αζερμπαϊτζάν, </w:t>
      </w:r>
      <w:r w:rsidR="001241F7">
        <w:rPr>
          <w:rFonts w:ascii="Aptos" w:hAnsi="Aptos" w:cs="Calibri"/>
        </w:rPr>
        <w:t>σ</w:t>
      </w:r>
      <w:r w:rsidRPr="00034DC6">
        <w:rPr>
          <w:rFonts w:ascii="Aptos" w:hAnsi="Aptos" w:cs="Calibri"/>
        </w:rPr>
        <w:t xml:space="preserve">τη Γερμανία, </w:t>
      </w:r>
      <w:r w:rsidR="001241F7">
        <w:rPr>
          <w:rFonts w:ascii="Aptos" w:hAnsi="Aptos" w:cs="Calibri"/>
        </w:rPr>
        <w:t>σ</w:t>
      </w:r>
      <w:r w:rsidRPr="00034DC6">
        <w:rPr>
          <w:rFonts w:ascii="Aptos" w:hAnsi="Aptos" w:cs="Calibri"/>
        </w:rPr>
        <w:t xml:space="preserve">την Αυστρία και </w:t>
      </w:r>
      <w:r w:rsidR="001241F7">
        <w:rPr>
          <w:rFonts w:ascii="Aptos" w:hAnsi="Aptos" w:cs="Calibri"/>
        </w:rPr>
        <w:t>σ</w:t>
      </w:r>
      <w:r w:rsidRPr="00034DC6">
        <w:rPr>
          <w:rFonts w:ascii="Aptos" w:hAnsi="Aptos" w:cs="Calibri"/>
        </w:rPr>
        <w:t>το Τρινιντάντ.</w:t>
      </w:r>
      <w:r>
        <w:rPr>
          <w:rFonts w:ascii="Aptos" w:hAnsi="Aptos" w:cs="Calibri"/>
        </w:rPr>
        <w:t xml:space="preserve"> </w:t>
      </w:r>
      <w:r w:rsidR="00894D9D">
        <w:rPr>
          <w:rFonts w:ascii="Aptos" w:hAnsi="Aptos" w:cs="Calibri"/>
        </w:rPr>
        <w:t xml:space="preserve"> </w:t>
      </w:r>
      <w:r w:rsidR="00082F77" w:rsidRPr="00082F77">
        <w:rPr>
          <w:rFonts w:ascii="Aptos" w:hAnsi="Aptos" w:cs="Calibri"/>
        </w:rPr>
        <w:t>Η διαφοροποίηση του χαρτοφυλακίου έργων, τόσο ως προς το είδος όσο και ως προς τη γεωγραφική τους κατ</w:t>
      </w:r>
      <w:r w:rsidR="00894D9D">
        <w:rPr>
          <w:rFonts w:ascii="Aptos" w:hAnsi="Aptos" w:cs="Calibri"/>
        </w:rPr>
        <w:t>άληξη</w:t>
      </w:r>
      <w:r w:rsidR="00082F77" w:rsidRPr="00082F77">
        <w:rPr>
          <w:rFonts w:ascii="Aptos" w:hAnsi="Aptos" w:cs="Calibri"/>
        </w:rPr>
        <w:t>,</w:t>
      </w:r>
      <w:r w:rsidR="00082F77">
        <w:rPr>
          <w:rFonts w:ascii="Aptos" w:hAnsi="Aptos" w:cs="Calibri"/>
        </w:rPr>
        <w:t xml:space="preserve"> </w:t>
      </w:r>
      <w:r w:rsidRPr="00034DC6">
        <w:rPr>
          <w:rFonts w:ascii="Aptos" w:hAnsi="Aptos" w:cs="Calibri"/>
        </w:rPr>
        <w:t>επιβεβαιών</w:t>
      </w:r>
      <w:r w:rsidR="006275F0">
        <w:rPr>
          <w:rFonts w:ascii="Aptos" w:hAnsi="Aptos" w:cs="Calibri"/>
        </w:rPr>
        <w:t>ει</w:t>
      </w:r>
      <w:r w:rsidRPr="00034DC6">
        <w:rPr>
          <w:rFonts w:ascii="Aptos" w:hAnsi="Aptos" w:cs="Calibri"/>
        </w:rPr>
        <w:t xml:space="preserve"> τη διεθνή θέση του τομέα και τη δυνατότητά του να ανταγωνίζεται επιτυχώς σε παγκόσμιο επίπεδο.</w:t>
      </w:r>
    </w:p>
    <w:p w14:paraId="62514037" w14:textId="59CC18C2" w:rsidR="00034DC6" w:rsidRDefault="00034DC6" w:rsidP="00CF3D0F">
      <w:pPr>
        <w:widowControl w:val="0"/>
        <w:autoSpaceDE w:val="0"/>
        <w:autoSpaceDN w:val="0"/>
        <w:adjustRightInd w:val="0"/>
        <w:spacing w:after="120" w:line="240" w:lineRule="auto"/>
        <w:jc w:val="both"/>
        <w:rPr>
          <w:rFonts w:ascii="Aptos" w:hAnsi="Aptos" w:cs="Calibri"/>
        </w:rPr>
      </w:pPr>
      <w:r w:rsidRPr="00034DC6">
        <w:rPr>
          <w:rFonts w:ascii="Aptos" w:hAnsi="Aptos" w:cs="Calibri"/>
        </w:rPr>
        <w:t>Παρ</w:t>
      </w:r>
      <w:r w:rsidR="00992798">
        <w:rPr>
          <w:rFonts w:ascii="Aptos" w:hAnsi="Aptos" w:cs="Calibri"/>
        </w:rPr>
        <w:t>ότι</w:t>
      </w:r>
      <w:r w:rsidRPr="00034DC6">
        <w:rPr>
          <w:rFonts w:ascii="Aptos" w:hAnsi="Aptos" w:cs="Calibri"/>
        </w:rPr>
        <w:t xml:space="preserve"> κατά το δεύτερο τρίμηνο δεν ανακοινώθηκε κάποι</w:t>
      </w:r>
      <w:r w:rsidR="00C15CC3">
        <w:rPr>
          <w:rFonts w:ascii="Aptos" w:hAnsi="Aptos" w:cs="Calibri"/>
        </w:rPr>
        <w:t xml:space="preserve">ο </w:t>
      </w:r>
      <w:r w:rsidRPr="00034DC6">
        <w:rPr>
          <w:rFonts w:ascii="Aptos" w:hAnsi="Aptos" w:cs="Calibri"/>
        </w:rPr>
        <w:t>ιδιαίτερα μεγάλ</w:t>
      </w:r>
      <w:r w:rsidR="00C15CC3">
        <w:rPr>
          <w:rFonts w:ascii="Aptos" w:hAnsi="Aptos" w:cs="Calibri"/>
        </w:rPr>
        <w:t>ο νέο έργο</w:t>
      </w:r>
      <w:r w:rsidRPr="00034DC6">
        <w:rPr>
          <w:rFonts w:ascii="Aptos" w:hAnsi="Aptos" w:cs="Calibri"/>
        </w:rPr>
        <w:t xml:space="preserve">, το ανεκτέλεστο υπόλοιπο παραγγελιών </w:t>
      </w:r>
      <w:r w:rsidR="00992798">
        <w:rPr>
          <w:rFonts w:ascii="Aptos" w:hAnsi="Aptos" w:cs="Calibri"/>
        </w:rPr>
        <w:t>διατηρήθηκε</w:t>
      </w:r>
      <w:r w:rsidR="00835BF4">
        <w:rPr>
          <w:rFonts w:ascii="Aptos" w:hAnsi="Aptos" w:cs="Calibri"/>
        </w:rPr>
        <w:t xml:space="preserve"> σταθερό</w:t>
      </w:r>
      <w:r w:rsidRPr="00034DC6">
        <w:rPr>
          <w:rFonts w:ascii="Aptos" w:hAnsi="Aptos" w:cs="Calibri"/>
        </w:rPr>
        <w:t xml:space="preserve"> περίπου στα 500 εκατ. ευρώ στις 30 Ιουνίου 2026. </w:t>
      </w:r>
      <w:r w:rsidR="00C15CC3">
        <w:rPr>
          <w:rFonts w:ascii="Aptos" w:hAnsi="Aptos" w:cs="Calibri"/>
        </w:rPr>
        <w:t xml:space="preserve"> </w:t>
      </w:r>
      <w:r w:rsidRPr="00034DC6">
        <w:rPr>
          <w:rFonts w:ascii="Aptos" w:hAnsi="Aptos" w:cs="Calibri"/>
        </w:rPr>
        <w:t xml:space="preserve">Η εμπορική δραστηριότητα εξακολουθεί να επικεντρώνεται σε κατηγορίες όπου </w:t>
      </w:r>
      <w:r w:rsidR="00271B47">
        <w:rPr>
          <w:rFonts w:ascii="Aptos" w:hAnsi="Aptos" w:cs="Calibri"/>
        </w:rPr>
        <w:t xml:space="preserve">η Σωληνουργεία Κορίνθου </w:t>
      </w:r>
      <w:r w:rsidRPr="00034DC6">
        <w:rPr>
          <w:rFonts w:ascii="Aptos" w:hAnsi="Aptos" w:cs="Calibri"/>
        </w:rPr>
        <w:t xml:space="preserve">διαθέτει ισχυρό πλεονέκτημα, </w:t>
      </w:r>
      <w:r w:rsidR="00271B47">
        <w:rPr>
          <w:rFonts w:ascii="Aptos" w:hAnsi="Aptos" w:cs="Calibri"/>
        </w:rPr>
        <w:t>όπως οι</w:t>
      </w:r>
      <w:r>
        <w:rPr>
          <w:rFonts w:ascii="Aptos" w:hAnsi="Aptos" w:cs="Calibri"/>
        </w:rPr>
        <w:t xml:space="preserve"> </w:t>
      </w:r>
      <w:r w:rsidRPr="00034DC6">
        <w:rPr>
          <w:rFonts w:ascii="Aptos" w:hAnsi="Aptos" w:cs="Calibri"/>
        </w:rPr>
        <w:t>απαιτητικές υπεράκτιες εφαρμογές,</w:t>
      </w:r>
      <w:r>
        <w:rPr>
          <w:rFonts w:ascii="Aptos" w:hAnsi="Aptos" w:cs="Calibri"/>
        </w:rPr>
        <w:t xml:space="preserve"> </w:t>
      </w:r>
      <w:r w:rsidR="00271B47">
        <w:rPr>
          <w:rFonts w:ascii="Aptos" w:hAnsi="Aptos" w:cs="Calibri"/>
        </w:rPr>
        <w:t xml:space="preserve">οι </w:t>
      </w:r>
      <w:r w:rsidRPr="00034DC6">
        <w:rPr>
          <w:rFonts w:ascii="Aptos" w:hAnsi="Aptos" w:cs="Calibri"/>
        </w:rPr>
        <w:t>αυστηρ</w:t>
      </w:r>
      <w:r w:rsidR="00271B47">
        <w:rPr>
          <w:rFonts w:ascii="Aptos" w:hAnsi="Aptos" w:cs="Calibri"/>
        </w:rPr>
        <w:t xml:space="preserve">ές </w:t>
      </w:r>
      <w:r w:rsidR="00B571B6">
        <w:rPr>
          <w:rFonts w:ascii="Aptos" w:hAnsi="Aptos" w:cs="Calibri"/>
        </w:rPr>
        <w:t>τεχνικ</w:t>
      </w:r>
      <w:r w:rsidR="00271B47">
        <w:rPr>
          <w:rFonts w:ascii="Aptos" w:hAnsi="Aptos" w:cs="Calibri"/>
        </w:rPr>
        <w:t>ές</w:t>
      </w:r>
      <w:r w:rsidRPr="00034DC6">
        <w:rPr>
          <w:rFonts w:ascii="Aptos" w:hAnsi="Aptos" w:cs="Calibri"/>
        </w:rPr>
        <w:t xml:space="preserve"> προδιαγραφ</w:t>
      </w:r>
      <w:r w:rsidR="00271B47">
        <w:rPr>
          <w:rFonts w:ascii="Aptos" w:hAnsi="Aptos" w:cs="Calibri"/>
        </w:rPr>
        <w:t>ές</w:t>
      </w:r>
      <w:r w:rsidRPr="00034DC6">
        <w:rPr>
          <w:rFonts w:ascii="Aptos" w:hAnsi="Aptos" w:cs="Calibri"/>
        </w:rPr>
        <w:t>,</w:t>
      </w:r>
      <w:r>
        <w:rPr>
          <w:rFonts w:ascii="Aptos" w:hAnsi="Aptos" w:cs="Calibri"/>
        </w:rPr>
        <w:t xml:space="preserve"> </w:t>
      </w:r>
      <w:r w:rsidR="00271B47">
        <w:rPr>
          <w:rFonts w:ascii="Aptos" w:hAnsi="Aptos" w:cs="Calibri"/>
        </w:rPr>
        <w:t xml:space="preserve">τα </w:t>
      </w:r>
      <w:r w:rsidRPr="00034DC6">
        <w:rPr>
          <w:rFonts w:ascii="Aptos" w:hAnsi="Aptos" w:cs="Calibri"/>
        </w:rPr>
        <w:t xml:space="preserve">έργα </w:t>
      </w:r>
      <w:r w:rsidRPr="00034DC6">
        <w:rPr>
          <w:rFonts w:ascii="Aptos" w:hAnsi="Aptos" w:cs="Calibri"/>
          <w:lang w:val="en-GB"/>
        </w:rPr>
        <w:t>CCS</w:t>
      </w:r>
      <w:r w:rsidR="00271B47">
        <w:rPr>
          <w:rFonts w:ascii="Aptos" w:hAnsi="Aptos" w:cs="Calibri"/>
        </w:rPr>
        <w:t xml:space="preserve"> και </w:t>
      </w:r>
      <w:r w:rsidRPr="00034DC6">
        <w:rPr>
          <w:rFonts w:ascii="Aptos" w:hAnsi="Aptos" w:cs="Calibri"/>
        </w:rPr>
        <w:t>υδρογόνου,</w:t>
      </w:r>
      <w:r>
        <w:rPr>
          <w:rFonts w:ascii="Aptos" w:hAnsi="Aptos" w:cs="Calibri"/>
        </w:rPr>
        <w:t xml:space="preserve"> </w:t>
      </w:r>
      <w:r w:rsidR="00082F77">
        <w:rPr>
          <w:rFonts w:ascii="Aptos" w:hAnsi="Aptos" w:cs="Calibri"/>
        </w:rPr>
        <w:t xml:space="preserve">καθώς και </w:t>
      </w:r>
      <w:r w:rsidR="00082F77" w:rsidRPr="00082F77">
        <w:rPr>
          <w:rFonts w:ascii="Aptos" w:hAnsi="Aptos" w:cs="Calibri"/>
        </w:rPr>
        <w:t xml:space="preserve">εξειδικευμένες λύσεις </w:t>
      </w:r>
      <w:r w:rsidR="007A3829">
        <w:rPr>
          <w:rFonts w:ascii="Aptos" w:hAnsi="Aptos" w:cs="Calibri"/>
        </w:rPr>
        <w:t xml:space="preserve">σωλήνων </w:t>
      </w:r>
      <w:r w:rsidR="00082F77" w:rsidRPr="00082F77">
        <w:rPr>
          <w:rFonts w:ascii="Aptos" w:hAnsi="Aptos" w:cs="Calibri"/>
        </w:rPr>
        <w:t>(</w:t>
      </w:r>
      <w:r w:rsidR="00082F77">
        <w:rPr>
          <w:rFonts w:ascii="Aptos" w:hAnsi="Aptos" w:cs="Calibri"/>
          <w:lang w:val="en-US"/>
        </w:rPr>
        <w:t>coating</w:t>
      </w:r>
      <w:r w:rsidR="00082F77" w:rsidRPr="00082F77">
        <w:rPr>
          <w:rFonts w:ascii="Aptos" w:hAnsi="Aptos" w:cs="Calibri"/>
        </w:rPr>
        <w:t>) υψηλής προστιθέμενης αξίας</w:t>
      </w:r>
      <w:r w:rsidRPr="00034DC6">
        <w:rPr>
          <w:rFonts w:ascii="Aptos" w:hAnsi="Aptos" w:cs="Calibri"/>
        </w:rPr>
        <w:t>.</w:t>
      </w:r>
    </w:p>
    <w:p w14:paraId="6AB4CBC9" w14:textId="3B5227B2" w:rsidR="009D4CE7" w:rsidRPr="00034DC6" w:rsidRDefault="00034DC6" w:rsidP="00CF3D0F">
      <w:pPr>
        <w:widowControl w:val="0"/>
        <w:autoSpaceDE w:val="0"/>
        <w:autoSpaceDN w:val="0"/>
        <w:adjustRightInd w:val="0"/>
        <w:spacing w:after="120" w:line="240" w:lineRule="auto"/>
        <w:jc w:val="both"/>
        <w:rPr>
          <w:rFonts w:ascii="Aptos" w:hAnsi="Aptos" w:cs="Calibri"/>
        </w:rPr>
      </w:pPr>
      <w:r w:rsidRPr="00034DC6">
        <w:rPr>
          <w:rFonts w:ascii="Aptos" w:hAnsi="Aptos" w:cs="Calibri"/>
        </w:rPr>
        <w:t xml:space="preserve">Το καθαρό χρηματοοικονομικό κόστος μειώθηκε κατά 15% και διαμορφώθηκε σε 4,3 εκατ. ευρώ, ωφελούμενο από το ευνοϊκότερο περιβάλλον επιτοκίων και το χρονοδιάγραμμα χρηματοδότησης των δραστηριοτήτων του τομέα. </w:t>
      </w:r>
      <w:r w:rsidR="000B026B">
        <w:rPr>
          <w:rFonts w:ascii="Aptos" w:hAnsi="Aptos" w:cs="Calibri"/>
        </w:rPr>
        <w:t xml:space="preserve"> </w:t>
      </w:r>
      <w:r w:rsidRPr="00034DC6">
        <w:rPr>
          <w:rFonts w:ascii="Aptos" w:hAnsi="Aptos" w:cs="Calibri"/>
        </w:rPr>
        <w:t>Τα κέρδη προ φόρων αυξήθηκαν οριακά σε 41 εκατ. ευρώ, ενώ τα καθαρά κέρδη μετά από φόρους ανήλθαν σε 31,3 εκατ. ευρώ.</w:t>
      </w:r>
    </w:p>
    <w:p w14:paraId="34FAD7EE" w14:textId="541146B7" w:rsidR="009D4CE7" w:rsidRPr="00034DC6" w:rsidRDefault="00034DC6" w:rsidP="00CF3D0F">
      <w:pPr>
        <w:widowControl w:val="0"/>
        <w:autoSpaceDE w:val="0"/>
        <w:autoSpaceDN w:val="0"/>
        <w:adjustRightInd w:val="0"/>
        <w:spacing w:after="120" w:line="240" w:lineRule="auto"/>
        <w:jc w:val="both"/>
        <w:rPr>
          <w:rFonts w:ascii="Aptos" w:hAnsi="Aptos" w:cs="Calibri"/>
        </w:rPr>
      </w:pPr>
      <w:r w:rsidRPr="00034DC6">
        <w:rPr>
          <w:rFonts w:ascii="Aptos" w:hAnsi="Aptos" w:cs="Calibri"/>
        </w:rPr>
        <w:t xml:space="preserve">Στις 30 Ιουνίου 2026, ο καθαρός δανεισμός του τομέα ανήλθε σε </w:t>
      </w:r>
      <w:r w:rsidR="005F266E">
        <w:rPr>
          <w:rFonts w:ascii="Aptos" w:hAnsi="Aptos" w:cs="Calibri"/>
        </w:rPr>
        <w:t xml:space="preserve">περίπου </w:t>
      </w:r>
      <w:r w:rsidRPr="00034DC6">
        <w:rPr>
          <w:rFonts w:ascii="Aptos" w:hAnsi="Aptos" w:cs="Calibri"/>
        </w:rPr>
        <w:t>5</w:t>
      </w:r>
      <w:r w:rsidR="005F266E">
        <w:rPr>
          <w:rFonts w:ascii="Aptos" w:hAnsi="Aptos" w:cs="Calibri"/>
        </w:rPr>
        <w:t>9</w:t>
      </w:r>
      <w:r w:rsidRPr="00034DC6">
        <w:rPr>
          <w:rFonts w:ascii="Aptos" w:hAnsi="Aptos" w:cs="Calibri"/>
        </w:rPr>
        <w:t xml:space="preserve"> εκατ. ευρώ, έναντι περίπου 10 εκατ. ευρώ στο τέλος του 2025. </w:t>
      </w:r>
      <w:r w:rsidR="000B026B">
        <w:rPr>
          <w:rFonts w:ascii="Aptos" w:hAnsi="Aptos" w:cs="Calibri"/>
        </w:rPr>
        <w:t xml:space="preserve"> </w:t>
      </w:r>
      <w:r w:rsidRPr="00034DC6">
        <w:rPr>
          <w:rFonts w:ascii="Aptos" w:hAnsi="Aptos" w:cs="Calibri"/>
        </w:rPr>
        <w:t xml:space="preserve">Η αύξηση αυτή </w:t>
      </w:r>
      <w:r w:rsidR="004F04C8">
        <w:rPr>
          <w:rFonts w:ascii="Aptos" w:hAnsi="Aptos" w:cs="Calibri"/>
        </w:rPr>
        <w:t>οφείλεται σ</w:t>
      </w:r>
      <w:r w:rsidRPr="00034DC6">
        <w:rPr>
          <w:rFonts w:ascii="Aptos" w:hAnsi="Aptos" w:cs="Calibri"/>
        </w:rPr>
        <w:t xml:space="preserve">την εξαγορά της </w:t>
      </w:r>
      <w:r w:rsidR="004F04C8">
        <w:rPr>
          <w:rFonts w:ascii="Aptos" w:hAnsi="Aptos" w:cs="Calibri"/>
        </w:rPr>
        <w:t xml:space="preserve">νέας </w:t>
      </w:r>
      <w:r w:rsidRPr="00034DC6">
        <w:rPr>
          <w:rFonts w:ascii="Aptos" w:hAnsi="Aptos" w:cs="Calibri"/>
        </w:rPr>
        <w:t xml:space="preserve">μονάδας </w:t>
      </w:r>
      <w:r w:rsidRPr="00034DC6">
        <w:rPr>
          <w:rFonts w:ascii="Aptos" w:hAnsi="Aptos" w:cs="Calibri"/>
          <w:lang w:val="en-GB"/>
        </w:rPr>
        <w:t>LSAW</w:t>
      </w:r>
      <w:r w:rsidRPr="00034DC6">
        <w:rPr>
          <w:rFonts w:ascii="Aptos" w:hAnsi="Aptos" w:cs="Calibri"/>
        </w:rPr>
        <w:t xml:space="preserve"> στο </w:t>
      </w:r>
      <w:r w:rsidRPr="00034DC6">
        <w:rPr>
          <w:rFonts w:ascii="Aptos" w:hAnsi="Aptos" w:cs="Calibri"/>
          <w:lang w:val="en-GB"/>
        </w:rPr>
        <w:t>Hartlepool</w:t>
      </w:r>
      <w:r w:rsidRPr="00034DC6">
        <w:rPr>
          <w:rFonts w:ascii="Aptos" w:hAnsi="Aptos" w:cs="Calibri"/>
        </w:rPr>
        <w:t xml:space="preserve"> </w:t>
      </w:r>
      <w:r w:rsidR="000B026B">
        <w:rPr>
          <w:rFonts w:ascii="Aptos" w:hAnsi="Aptos" w:cs="Calibri"/>
        </w:rPr>
        <w:t>της Αγγλίας</w:t>
      </w:r>
      <w:r w:rsidRPr="00034DC6">
        <w:rPr>
          <w:rFonts w:ascii="Aptos" w:hAnsi="Aptos" w:cs="Calibri"/>
        </w:rPr>
        <w:t>, το επενδυτικό πρόγραμμα</w:t>
      </w:r>
      <w:r w:rsidR="004F04C8" w:rsidRPr="004F04C8">
        <w:rPr>
          <w:rFonts w:ascii="Aptos" w:hAnsi="Aptos" w:cs="Calibri"/>
        </w:rPr>
        <w:t xml:space="preserve"> </w:t>
      </w:r>
      <w:r w:rsidR="00200648">
        <w:rPr>
          <w:rFonts w:ascii="Aptos" w:hAnsi="Aptos" w:cs="Calibri"/>
        </w:rPr>
        <w:t>που επακολούθησε</w:t>
      </w:r>
      <w:r w:rsidR="005F266E">
        <w:rPr>
          <w:rFonts w:ascii="Aptos" w:hAnsi="Aptos" w:cs="Calibri"/>
        </w:rPr>
        <w:t>,</w:t>
      </w:r>
      <w:r w:rsidRPr="00034DC6">
        <w:rPr>
          <w:rFonts w:ascii="Aptos" w:hAnsi="Aptos" w:cs="Calibri"/>
        </w:rPr>
        <w:t xml:space="preserve"> </w:t>
      </w:r>
      <w:r w:rsidR="005F266E" w:rsidRPr="005F266E">
        <w:rPr>
          <w:rFonts w:ascii="Aptos" w:hAnsi="Aptos" w:cs="Calibri"/>
        </w:rPr>
        <w:t xml:space="preserve">καθώς και τις αυξημένες ανάγκες κεφαλαίου κίνησης, οι οποίες διαμορφώθηκαν στα 70 εκατ. ευρώ, σχεδόν διπλάσιες σε σχέση με το τέλος του 2025, </w:t>
      </w:r>
      <w:r w:rsidR="006275F0" w:rsidRPr="006275F0">
        <w:rPr>
          <w:rFonts w:ascii="Aptos" w:hAnsi="Aptos" w:cs="Calibri"/>
        </w:rPr>
        <w:t>λόγω του χρονοδιαγράμματος υλοποίησης έργων.</w:t>
      </w:r>
    </w:p>
    <w:bookmarkEnd w:id="8"/>
    <w:p w14:paraId="18DE0338" w14:textId="7E3092CF" w:rsidR="00B571B6" w:rsidRDefault="00034DC6" w:rsidP="00CF3D0F">
      <w:pPr>
        <w:widowControl w:val="0"/>
        <w:spacing w:after="120" w:line="240" w:lineRule="auto"/>
        <w:jc w:val="both"/>
        <w:outlineLvl w:val="1"/>
        <w:rPr>
          <w:rFonts w:ascii="Aptos" w:hAnsi="Aptos" w:cs="Calibri"/>
        </w:rPr>
      </w:pPr>
      <w:r w:rsidRPr="00034DC6">
        <w:rPr>
          <w:rFonts w:ascii="Aptos" w:hAnsi="Aptos" w:cs="Calibri"/>
        </w:rPr>
        <w:t xml:space="preserve">Οι κεφαλαιουχικές δαπάνες ανήλθαν σε 28 εκατ. ευρώ, </w:t>
      </w:r>
      <w:r w:rsidR="007A3829">
        <w:rPr>
          <w:rFonts w:ascii="Aptos" w:hAnsi="Aptos" w:cs="Calibri"/>
        </w:rPr>
        <w:t>από τα οποία</w:t>
      </w:r>
      <w:r>
        <w:rPr>
          <w:rFonts w:ascii="Aptos" w:hAnsi="Aptos" w:cs="Calibri"/>
        </w:rPr>
        <w:t xml:space="preserve"> </w:t>
      </w:r>
      <w:r w:rsidRPr="00034DC6">
        <w:rPr>
          <w:rFonts w:ascii="Aptos" w:hAnsi="Aptos" w:cs="Calibri"/>
        </w:rPr>
        <w:t xml:space="preserve">17 εκατ. ευρώ αφορούσαν την εξαγορά και επαναλειτουργία της μονάδας </w:t>
      </w:r>
      <w:r w:rsidR="00200648">
        <w:rPr>
          <w:rFonts w:ascii="Aptos" w:hAnsi="Aptos" w:cs="Calibri"/>
        </w:rPr>
        <w:t>στην Αγγλία</w:t>
      </w:r>
      <w:r w:rsidRPr="00034DC6">
        <w:rPr>
          <w:rFonts w:ascii="Aptos" w:hAnsi="Aptos" w:cs="Calibri"/>
        </w:rPr>
        <w:t>,</w:t>
      </w:r>
      <w:r>
        <w:rPr>
          <w:rFonts w:ascii="Aptos" w:hAnsi="Aptos" w:cs="Calibri"/>
        </w:rPr>
        <w:t xml:space="preserve"> </w:t>
      </w:r>
      <w:r w:rsidRPr="00034DC6">
        <w:rPr>
          <w:rFonts w:ascii="Aptos" w:hAnsi="Aptos" w:cs="Calibri"/>
        </w:rPr>
        <w:t>ενώ το υπόλοιπο ποσό αφορούσε στοχευμένες επενδύσεις στις εγκαταστάσεις της Θίσβης.</w:t>
      </w:r>
      <w:r>
        <w:rPr>
          <w:rFonts w:ascii="Aptos" w:hAnsi="Aptos" w:cs="Calibri"/>
        </w:rPr>
        <w:t xml:space="preserve"> </w:t>
      </w:r>
      <w:r w:rsidR="00974140">
        <w:rPr>
          <w:rFonts w:ascii="Aptos" w:hAnsi="Aptos" w:cs="Calibri"/>
        </w:rPr>
        <w:t xml:space="preserve"> </w:t>
      </w:r>
      <w:r w:rsidRPr="00034DC6">
        <w:rPr>
          <w:rFonts w:ascii="Aptos" w:hAnsi="Aptos" w:cs="Calibri"/>
        </w:rPr>
        <w:t xml:space="preserve">Η νέα παραγωγική μονάδα στο Ηνωμένο Βασίλειο ενισχύει τη δυναμικότητα παραγωγής σωλήνων </w:t>
      </w:r>
      <w:r w:rsidRPr="00034DC6">
        <w:rPr>
          <w:rFonts w:ascii="Aptos" w:hAnsi="Aptos" w:cs="Calibri"/>
          <w:lang w:val="en-GB"/>
        </w:rPr>
        <w:t>LSAW</w:t>
      </w:r>
      <w:r w:rsidRPr="00034DC6">
        <w:rPr>
          <w:rFonts w:ascii="Aptos" w:hAnsi="Aptos" w:cs="Calibri"/>
        </w:rPr>
        <w:t xml:space="preserve"> και βελτιώνει τη θέση του τομέα στις αγορές ενεργειακών υποδομών, συμπεριλαμβανομένων των υπό ανάπτυξη έργων </w:t>
      </w:r>
      <w:r w:rsidRPr="00034DC6">
        <w:rPr>
          <w:rFonts w:ascii="Aptos" w:hAnsi="Aptos" w:cs="Calibri"/>
          <w:lang w:val="en-GB"/>
        </w:rPr>
        <w:t>CCS</w:t>
      </w:r>
      <w:r w:rsidRPr="00034DC6">
        <w:rPr>
          <w:rFonts w:ascii="Aptos" w:hAnsi="Aptos" w:cs="Calibri"/>
        </w:rPr>
        <w:t xml:space="preserve"> στ</w:t>
      </w:r>
      <w:r w:rsidR="00974140">
        <w:rPr>
          <w:rFonts w:ascii="Aptos" w:hAnsi="Aptos" w:cs="Calibri"/>
        </w:rPr>
        <w:t>η χώρα</w:t>
      </w:r>
      <w:r w:rsidRPr="00034DC6">
        <w:rPr>
          <w:rFonts w:ascii="Aptos" w:hAnsi="Aptos" w:cs="Calibri"/>
        </w:rPr>
        <w:t xml:space="preserve">. </w:t>
      </w:r>
      <w:r w:rsidR="00974140">
        <w:rPr>
          <w:rFonts w:ascii="Aptos" w:hAnsi="Aptos" w:cs="Calibri"/>
        </w:rPr>
        <w:t xml:space="preserve"> </w:t>
      </w:r>
      <w:r w:rsidRPr="00034DC6">
        <w:rPr>
          <w:rFonts w:ascii="Aptos" w:hAnsi="Aptos" w:cs="Calibri"/>
        </w:rPr>
        <w:t xml:space="preserve">Παράλληλα, </w:t>
      </w:r>
      <w:r w:rsidR="0082076E">
        <w:rPr>
          <w:rFonts w:ascii="Aptos" w:hAnsi="Aptos" w:cs="Calibri"/>
        </w:rPr>
        <w:t>η</w:t>
      </w:r>
      <w:r w:rsidR="00B571B6" w:rsidRPr="00B571B6">
        <w:rPr>
          <w:rFonts w:ascii="Aptos" w:hAnsi="Aptos" w:cs="Calibri"/>
        </w:rPr>
        <w:t xml:space="preserve"> </w:t>
      </w:r>
      <w:r w:rsidR="00B571B6" w:rsidRPr="0082076E">
        <w:rPr>
          <w:rFonts w:ascii="Aptos" w:hAnsi="Aptos" w:cs="Calibri"/>
        </w:rPr>
        <w:t xml:space="preserve">διαδικασία ενσωμάτωσης της </w:t>
      </w:r>
      <w:r w:rsidR="005C06E9">
        <w:rPr>
          <w:rFonts w:ascii="Aptos" w:hAnsi="Aptos" w:cs="Calibri"/>
        </w:rPr>
        <w:t xml:space="preserve">νέας </w:t>
      </w:r>
      <w:r w:rsidR="00B571B6" w:rsidRPr="0082076E">
        <w:rPr>
          <w:rFonts w:ascii="Aptos" w:hAnsi="Aptos" w:cs="Calibri"/>
        </w:rPr>
        <w:t>μονάδας και</w:t>
      </w:r>
      <w:r w:rsidR="0082076E" w:rsidRPr="0082076E">
        <w:rPr>
          <w:rFonts w:ascii="Aptos" w:hAnsi="Aptos" w:cs="Calibri"/>
        </w:rPr>
        <w:t xml:space="preserve"> οι</w:t>
      </w:r>
      <w:r w:rsidR="00B571B6" w:rsidRPr="0082076E">
        <w:rPr>
          <w:rFonts w:ascii="Aptos" w:hAnsi="Aptos" w:cs="Calibri"/>
        </w:rPr>
        <w:t xml:space="preserve"> </w:t>
      </w:r>
      <w:r w:rsidR="0010732A" w:rsidRPr="0082076E">
        <w:rPr>
          <w:rFonts w:ascii="Aptos" w:hAnsi="Aptos" w:cs="Calibri"/>
        </w:rPr>
        <w:t>απαραίτητες πιστοποιήσεις</w:t>
      </w:r>
      <w:r w:rsidR="00B571B6" w:rsidRPr="0082076E">
        <w:rPr>
          <w:rFonts w:ascii="Aptos" w:hAnsi="Aptos" w:cs="Calibri"/>
        </w:rPr>
        <w:t xml:space="preserve"> εξελίσσονται σύμφωνα με τον σχεδιασμό, ενώ οι επόμενες φάσεις του</w:t>
      </w:r>
      <w:r w:rsidR="00B571B6" w:rsidRPr="00B571B6">
        <w:rPr>
          <w:rFonts w:ascii="Aptos" w:hAnsi="Aptos" w:cs="Calibri"/>
        </w:rPr>
        <w:t xml:space="preserve"> επενδυτικού προγράμματος θα προχωρούν σταδιακά, ευθυγραμμισμένες με τη ζήτηση της αγοράς.</w:t>
      </w:r>
    </w:p>
    <w:p w14:paraId="4CB4A682" w14:textId="782AB13A" w:rsidR="00034DC6" w:rsidRPr="00B571B6" w:rsidRDefault="00034DC6" w:rsidP="005E0EB8">
      <w:pPr>
        <w:keepNext/>
        <w:keepLines/>
        <w:widowControl w:val="0"/>
        <w:spacing w:after="120" w:line="240" w:lineRule="auto"/>
        <w:jc w:val="both"/>
        <w:outlineLvl w:val="1"/>
        <w:rPr>
          <w:rFonts w:ascii="Aptos" w:eastAsia="SimSun" w:hAnsi="Aptos" w:cs="Calibri"/>
          <w:b/>
          <w:bCs/>
          <w:color w:val="4F6228"/>
          <w:sz w:val="24"/>
          <w:szCs w:val="24"/>
        </w:rPr>
      </w:pPr>
      <w:r w:rsidRPr="00B571B6">
        <w:rPr>
          <w:rFonts w:ascii="Aptos" w:eastAsia="SimSun" w:hAnsi="Aptos" w:cs="Calibri"/>
          <w:b/>
          <w:bCs/>
          <w:color w:val="4F6228"/>
          <w:sz w:val="24"/>
          <w:szCs w:val="24"/>
        </w:rPr>
        <w:t>Προοπτικές</w:t>
      </w:r>
    </w:p>
    <w:p w14:paraId="58C920F0" w14:textId="01ED0FF7" w:rsidR="00CC4BC4" w:rsidRDefault="00CC4BC4" w:rsidP="005E0EB8">
      <w:pPr>
        <w:autoSpaceDE w:val="0"/>
        <w:autoSpaceDN w:val="0"/>
        <w:adjustRightInd w:val="0"/>
        <w:spacing w:after="120" w:line="240" w:lineRule="auto"/>
        <w:jc w:val="both"/>
        <w:rPr>
          <w:rFonts w:ascii="Aptos" w:hAnsi="Aptos" w:cs="Calibri"/>
        </w:rPr>
      </w:pPr>
      <w:r w:rsidRPr="00CC4BC4">
        <w:rPr>
          <w:rFonts w:ascii="Aptos" w:hAnsi="Aptos" w:cs="Calibri"/>
        </w:rPr>
        <w:t xml:space="preserve">Η </w:t>
      </w:r>
      <w:r w:rsidRPr="00CC4BC4">
        <w:rPr>
          <w:rFonts w:ascii="Aptos" w:hAnsi="Aptos" w:cs="Calibri"/>
          <w:lang w:val="en-GB"/>
        </w:rPr>
        <w:t>Cenergy</w:t>
      </w:r>
      <w:r w:rsidRPr="00CC4BC4">
        <w:rPr>
          <w:rFonts w:ascii="Aptos" w:hAnsi="Aptos" w:cs="Calibri"/>
        </w:rPr>
        <w:t xml:space="preserve"> </w:t>
      </w:r>
      <w:r w:rsidRPr="00CC4BC4">
        <w:rPr>
          <w:rFonts w:ascii="Aptos" w:hAnsi="Aptos" w:cs="Calibri"/>
          <w:lang w:val="en-GB"/>
        </w:rPr>
        <w:t>Holdings</w:t>
      </w:r>
      <w:r w:rsidRPr="00CC4BC4">
        <w:rPr>
          <w:rFonts w:ascii="Aptos" w:hAnsi="Aptos" w:cs="Calibri"/>
        </w:rPr>
        <w:t xml:space="preserve"> εισέρχεται στο δεύτερο εξάμηνο του 2026 με </w:t>
      </w:r>
      <w:r w:rsidR="005C06E9">
        <w:rPr>
          <w:rFonts w:ascii="Aptos" w:hAnsi="Aptos" w:cs="Calibri"/>
        </w:rPr>
        <w:t xml:space="preserve">ένα </w:t>
      </w:r>
      <w:r w:rsidRPr="00CC4BC4">
        <w:rPr>
          <w:rFonts w:ascii="Aptos" w:hAnsi="Aptos" w:cs="Calibri"/>
        </w:rPr>
        <w:t xml:space="preserve">ιστορικά υψηλό ανεκτέλεστο υπόλοιπο παραγγελιών, </w:t>
      </w:r>
      <w:r w:rsidR="005C06E9">
        <w:rPr>
          <w:rFonts w:ascii="Aptos" w:hAnsi="Aptos" w:cs="Calibri"/>
        </w:rPr>
        <w:t xml:space="preserve">μια </w:t>
      </w:r>
      <w:r w:rsidRPr="00CC4BC4">
        <w:rPr>
          <w:rFonts w:ascii="Aptos" w:hAnsi="Aptos" w:cs="Calibri"/>
        </w:rPr>
        <w:t xml:space="preserve">σημαντικά ενισχυμένη και πλήρως λειτουργική παραγωγική δυναμικότητα και ισχυρούς αναπτυξιακούς παράγοντες στις βασικές αγορές δραστηριοποίησής της. </w:t>
      </w:r>
      <w:r w:rsidR="005C06E9">
        <w:rPr>
          <w:rFonts w:ascii="Aptos" w:hAnsi="Aptos" w:cs="Calibri"/>
        </w:rPr>
        <w:t xml:space="preserve"> </w:t>
      </w:r>
      <w:r w:rsidRPr="00CC4BC4">
        <w:rPr>
          <w:rFonts w:ascii="Aptos" w:hAnsi="Aptos" w:cs="Calibri"/>
        </w:rPr>
        <w:t xml:space="preserve">Οι στρατηγικές προτεραιότητες του Ομίλου παραμένουν αμετάβλητες και επικεντρώνονται στην ασφαλή και αποδοτική εκτέλεση των </w:t>
      </w:r>
      <w:r w:rsidR="00082F77">
        <w:rPr>
          <w:rFonts w:ascii="Aptos" w:hAnsi="Aptos" w:cs="Calibri"/>
        </w:rPr>
        <w:t xml:space="preserve">ήδη ανατεθειμένων </w:t>
      </w:r>
      <w:r w:rsidRPr="00CC4BC4">
        <w:rPr>
          <w:rFonts w:ascii="Aptos" w:hAnsi="Aptos" w:cs="Calibri"/>
        </w:rPr>
        <w:t xml:space="preserve">έργων, στην πειθαρχημένη εμπορική πολιτική, στην έγκαιρη ολοκλήρωση του επενδυτικού προγράμματος και στην αποτελεσματική διαχείριση </w:t>
      </w:r>
      <w:r w:rsidR="009241FC">
        <w:rPr>
          <w:rFonts w:ascii="Aptos" w:hAnsi="Aptos" w:cs="Calibri"/>
        </w:rPr>
        <w:t xml:space="preserve">της μόχλευσης και </w:t>
      </w:r>
      <w:r w:rsidRPr="00CC4BC4">
        <w:rPr>
          <w:rFonts w:ascii="Aptos" w:hAnsi="Aptos" w:cs="Calibri"/>
        </w:rPr>
        <w:t xml:space="preserve">του κεφαλαίου κίνησης. </w:t>
      </w:r>
      <w:r w:rsidR="00584E94">
        <w:rPr>
          <w:rFonts w:ascii="Aptos" w:hAnsi="Aptos" w:cs="Calibri"/>
        </w:rPr>
        <w:t xml:space="preserve"> </w:t>
      </w:r>
      <w:r w:rsidRPr="00CC4BC4">
        <w:rPr>
          <w:rFonts w:ascii="Aptos" w:hAnsi="Aptos" w:cs="Calibri"/>
        </w:rPr>
        <w:t xml:space="preserve">Παρότι οι γεωπολιτικές εξελίξεις, οι μακροοικονομικές αβεβαιότητες και οι προκλήσεις </w:t>
      </w:r>
      <w:r w:rsidR="00584E94">
        <w:rPr>
          <w:rFonts w:ascii="Aptos" w:hAnsi="Aptos" w:cs="Calibri"/>
        </w:rPr>
        <w:lastRenderedPageBreak/>
        <w:t>στην</w:t>
      </w:r>
      <w:r w:rsidRPr="00CC4BC4">
        <w:rPr>
          <w:rFonts w:ascii="Aptos" w:hAnsi="Aptos" w:cs="Calibri"/>
        </w:rPr>
        <w:t xml:space="preserve"> εφοδιαστική αλυσίδα εξακολουθούν να υφίστανται, οι </w:t>
      </w:r>
      <w:r w:rsidR="005F266E">
        <w:rPr>
          <w:rFonts w:ascii="Aptos" w:hAnsi="Aptos" w:cs="Calibri"/>
        </w:rPr>
        <w:t xml:space="preserve">παράγοντες για </w:t>
      </w:r>
      <w:r w:rsidRPr="00CC4BC4">
        <w:rPr>
          <w:rFonts w:ascii="Aptos" w:hAnsi="Aptos" w:cs="Calibri"/>
        </w:rPr>
        <w:t>μακροπρόθεσμ</w:t>
      </w:r>
      <w:r w:rsidR="005F266E">
        <w:rPr>
          <w:rFonts w:ascii="Aptos" w:hAnsi="Aptos" w:cs="Calibri"/>
        </w:rPr>
        <w:t>η</w:t>
      </w:r>
      <w:r w:rsidRPr="00CC4BC4">
        <w:rPr>
          <w:rFonts w:ascii="Aptos" w:hAnsi="Aptos" w:cs="Calibri"/>
        </w:rPr>
        <w:t xml:space="preserve"> αν</w:t>
      </w:r>
      <w:r w:rsidR="005F266E">
        <w:rPr>
          <w:rFonts w:ascii="Aptos" w:hAnsi="Aptos" w:cs="Calibri"/>
        </w:rPr>
        <w:t>άπτυξη</w:t>
      </w:r>
      <w:r w:rsidRPr="00CC4BC4">
        <w:rPr>
          <w:rFonts w:ascii="Aptos" w:hAnsi="Aptos" w:cs="Calibri"/>
        </w:rPr>
        <w:t xml:space="preserve"> </w:t>
      </w:r>
      <w:r w:rsidR="005F266E">
        <w:rPr>
          <w:rFonts w:ascii="Aptos" w:hAnsi="Aptos" w:cs="Calibri"/>
        </w:rPr>
        <w:t>και σ</w:t>
      </w:r>
      <w:r w:rsidRPr="00CC4BC4">
        <w:rPr>
          <w:rFonts w:ascii="Aptos" w:hAnsi="Aptos" w:cs="Calibri"/>
        </w:rPr>
        <w:t>τους δύο τομείς παραμένουν ισχυροί.</w:t>
      </w:r>
    </w:p>
    <w:p w14:paraId="1BE3A267" w14:textId="1E81EC1F" w:rsidR="00CC4BC4" w:rsidRDefault="00CC4BC4" w:rsidP="005E0EB8">
      <w:pPr>
        <w:autoSpaceDE w:val="0"/>
        <w:autoSpaceDN w:val="0"/>
        <w:adjustRightInd w:val="0"/>
        <w:spacing w:after="120" w:line="240" w:lineRule="auto"/>
        <w:jc w:val="both"/>
        <w:rPr>
          <w:rFonts w:ascii="Aptos" w:hAnsi="Aptos" w:cs="Calibri"/>
        </w:rPr>
      </w:pPr>
      <w:r w:rsidRPr="00CC4BC4">
        <w:rPr>
          <w:rFonts w:ascii="Aptos" w:hAnsi="Aptos" w:cs="Calibri"/>
        </w:rPr>
        <w:t>Οι μεσοπρόθεσμες και μακροπρόθεσμες προοπτικές τ</w:t>
      </w:r>
      <w:r w:rsidR="00F559C4">
        <w:rPr>
          <w:rFonts w:ascii="Aptos" w:hAnsi="Aptos" w:cs="Calibri"/>
        </w:rPr>
        <w:t xml:space="preserve">ων </w:t>
      </w:r>
      <w:r w:rsidRPr="00CC4BC4">
        <w:rPr>
          <w:rFonts w:ascii="Aptos" w:hAnsi="Aptos" w:cs="Calibri"/>
          <w:b/>
          <w:bCs/>
        </w:rPr>
        <w:t>καλωδίων</w:t>
      </w:r>
      <w:r w:rsidRPr="00CC4BC4">
        <w:rPr>
          <w:rFonts w:ascii="Aptos" w:hAnsi="Aptos" w:cs="Calibri"/>
        </w:rPr>
        <w:t xml:space="preserve"> παραμένουν ιδιαίτερα ευνοϊκές. Οι διαχειριστές συστημάτων μεταφοράς και διανομής ηλεκτρικής ενέργειας συνεχίζουν να επεκτείνουν και να αναβαθμίζουν τα δίκτυά τους</w:t>
      </w:r>
      <w:r w:rsidRPr="005F2E5A">
        <w:rPr>
          <w:rFonts w:ascii="Aptos" w:hAnsi="Aptos" w:cs="Calibri"/>
        </w:rPr>
        <w:t>, προκειμένου να υποστηρίξουν τη σύνδεση νέ</w:t>
      </w:r>
      <w:r w:rsidR="00F559C4">
        <w:rPr>
          <w:rFonts w:ascii="Aptos" w:hAnsi="Aptos" w:cs="Calibri"/>
        </w:rPr>
        <w:t xml:space="preserve">ων </w:t>
      </w:r>
      <w:r w:rsidRPr="005F2E5A">
        <w:rPr>
          <w:rFonts w:ascii="Aptos" w:hAnsi="Aptos" w:cs="Calibri"/>
        </w:rPr>
        <w:t>ανανεώσιμ</w:t>
      </w:r>
      <w:r w:rsidR="00F559C4">
        <w:rPr>
          <w:rFonts w:ascii="Aptos" w:hAnsi="Aptos" w:cs="Calibri"/>
        </w:rPr>
        <w:t>ων</w:t>
      </w:r>
      <w:r w:rsidRPr="005F2E5A">
        <w:rPr>
          <w:rFonts w:ascii="Aptos" w:hAnsi="Aptos" w:cs="Calibri"/>
        </w:rPr>
        <w:t xml:space="preserve"> πηγ</w:t>
      </w:r>
      <w:r w:rsidR="00F559C4">
        <w:rPr>
          <w:rFonts w:ascii="Aptos" w:hAnsi="Aptos" w:cs="Calibri"/>
        </w:rPr>
        <w:t>ών</w:t>
      </w:r>
      <w:r w:rsidRPr="005F2E5A">
        <w:rPr>
          <w:rFonts w:ascii="Aptos" w:hAnsi="Aptos" w:cs="Calibri"/>
        </w:rPr>
        <w:t xml:space="preserve">, να ενισχύσουν την ανθεκτικότητα των ενεργειακών συστημάτων και να ανταποκριθούν στην αυξανόμενη ζήτηση ηλεκτρικής ενέργειας που </w:t>
      </w:r>
      <w:r w:rsidR="00DC3A60" w:rsidRPr="005F2E5A">
        <w:rPr>
          <w:rFonts w:ascii="Aptos" w:hAnsi="Aptos" w:cs="Calibri"/>
        </w:rPr>
        <w:t>τροφοδοτείται από τη συνεχιζόμενη ενεργειακή μετάβαση</w:t>
      </w:r>
      <w:r w:rsidRPr="005F2E5A">
        <w:rPr>
          <w:rFonts w:ascii="Aptos" w:hAnsi="Aptos" w:cs="Calibri"/>
        </w:rPr>
        <w:t>, την</w:t>
      </w:r>
      <w:r w:rsidR="005F2E5A" w:rsidRPr="005F2E5A">
        <w:rPr>
          <w:rFonts w:ascii="Aptos" w:hAnsi="Aptos" w:cs="Calibri"/>
        </w:rPr>
        <w:t xml:space="preserve"> επιστροφή παραγωγικών δραστηριοτήτων στις τοπικές αγορές </w:t>
      </w:r>
      <w:r w:rsidRPr="005F2E5A">
        <w:rPr>
          <w:rFonts w:ascii="Aptos" w:hAnsi="Aptos" w:cs="Calibri"/>
        </w:rPr>
        <w:t>και την ταχεία ανάπτυξη των κέντρων δεδομένων (</w:t>
      </w:r>
      <w:r w:rsidRPr="005F2E5A">
        <w:rPr>
          <w:rFonts w:ascii="Aptos" w:hAnsi="Aptos" w:cs="Calibri"/>
          <w:lang w:val="en-GB"/>
        </w:rPr>
        <w:t>data</w:t>
      </w:r>
      <w:r w:rsidRPr="005F2E5A">
        <w:rPr>
          <w:rFonts w:ascii="Aptos" w:hAnsi="Aptos" w:cs="Calibri"/>
        </w:rPr>
        <w:t xml:space="preserve"> </w:t>
      </w:r>
      <w:r w:rsidRPr="005F2E5A">
        <w:rPr>
          <w:rFonts w:ascii="Aptos" w:hAnsi="Aptos" w:cs="Calibri"/>
          <w:lang w:val="en-GB"/>
        </w:rPr>
        <w:t>centers</w:t>
      </w:r>
      <w:r w:rsidRPr="005F2E5A">
        <w:rPr>
          <w:rFonts w:ascii="Aptos" w:hAnsi="Aptos" w:cs="Calibri"/>
        </w:rPr>
        <w:t xml:space="preserve">). </w:t>
      </w:r>
      <w:r w:rsidR="004D6E0A">
        <w:rPr>
          <w:rFonts w:ascii="Aptos" w:hAnsi="Aptos" w:cs="Calibri"/>
        </w:rPr>
        <w:t xml:space="preserve"> </w:t>
      </w:r>
      <w:r w:rsidRPr="005F2E5A">
        <w:rPr>
          <w:rFonts w:ascii="Aptos" w:hAnsi="Aptos" w:cs="Calibri"/>
        </w:rPr>
        <w:t>Η δραστηριότητα στον τομέα των ηλεκτρικών διασυνδέσεων παραμένει ιδιαίτερα ισχυρή, ενώ η αγορά των υπεράκτιων αιολικών πάρκων εξακολουθεί να προσφέρει σημαντικ</w:t>
      </w:r>
      <w:r w:rsidR="00DF0E74">
        <w:rPr>
          <w:rFonts w:ascii="Aptos" w:hAnsi="Aptos" w:cs="Calibri"/>
        </w:rPr>
        <w:t>ές ευκαιρίες</w:t>
      </w:r>
      <w:r w:rsidRPr="005F2E5A">
        <w:rPr>
          <w:rFonts w:ascii="Aptos" w:hAnsi="Aptos" w:cs="Calibri"/>
        </w:rPr>
        <w:t xml:space="preserve"> </w:t>
      </w:r>
      <w:r w:rsidR="00DF0E74">
        <w:rPr>
          <w:rFonts w:ascii="Aptos" w:hAnsi="Aptos" w:cs="Calibri"/>
        </w:rPr>
        <w:t>για νέα</w:t>
      </w:r>
      <w:r w:rsidRPr="005F2E5A">
        <w:rPr>
          <w:rFonts w:ascii="Aptos" w:hAnsi="Aptos" w:cs="Calibri"/>
        </w:rPr>
        <w:t xml:space="preserve"> έργ</w:t>
      </w:r>
      <w:r w:rsidR="00DF0E74">
        <w:rPr>
          <w:rFonts w:ascii="Aptos" w:hAnsi="Aptos" w:cs="Calibri"/>
        </w:rPr>
        <w:t>α</w:t>
      </w:r>
      <w:r w:rsidRPr="00CC4BC4">
        <w:rPr>
          <w:rFonts w:ascii="Aptos" w:hAnsi="Aptos" w:cs="Calibri"/>
        </w:rPr>
        <w:t xml:space="preserve">, παρά τις βραχυπρόθεσμες διακυμάνσεις στο χρονοδιάγραμμα υλοποίησης ορισμένων </w:t>
      </w:r>
      <w:r w:rsidR="00DF0E74">
        <w:rPr>
          <w:rFonts w:ascii="Aptos" w:hAnsi="Aptos" w:cs="Calibri"/>
        </w:rPr>
        <w:t>εξ’ αυτών</w:t>
      </w:r>
      <w:r w:rsidRPr="00CC4BC4">
        <w:rPr>
          <w:rFonts w:ascii="Aptos" w:hAnsi="Aptos" w:cs="Calibri"/>
        </w:rPr>
        <w:t xml:space="preserve"> σε επιμέρους χώρες. </w:t>
      </w:r>
      <w:r w:rsidR="004D6E0A">
        <w:rPr>
          <w:rFonts w:ascii="Aptos" w:hAnsi="Aptos" w:cs="Calibri"/>
        </w:rPr>
        <w:t xml:space="preserve"> </w:t>
      </w:r>
      <w:r w:rsidRPr="00CC4BC4">
        <w:rPr>
          <w:rFonts w:ascii="Aptos" w:hAnsi="Aptos" w:cs="Calibri"/>
        </w:rPr>
        <w:t xml:space="preserve">Το ιστορικά υψηλό ανεκτέλεστο υπόλοιπο παραγγελιών παρέχει πλέον ορατότητα που εκτείνεται έως </w:t>
      </w:r>
      <w:r w:rsidR="00DF0E74" w:rsidRPr="00DF0E74">
        <w:rPr>
          <w:rFonts w:ascii="Aptos" w:hAnsi="Aptos" w:cs="Calibri"/>
        </w:rPr>
        <w:t>και μετά το 2030</w:t>
      </w:r>
      <w:r w:rsidRPr="00CC4BC4">
        <w:rPr>
          <w:rFonts w:ascii="Aptos" w:hAnsi="Aptos" w:cs="Calibri"/>
        </w:rPr>
        <w:t>.</w:t>
      </w:r>
    </w:p>
    <w:p w14:paraId="7B7BDC28" w14:textId="72B7D238" w:rsidR="00935E6D" w:rsidRPr="00935E6D" w:rsidRDefault="00122822" w:rsidP="005E0EB8">
      <w:pPr>
        <w:autoSpaceDE w:val="0"/>
        <w:autoSpaceDN w:val="0"/>
        <w:adjustRightInd w:val="0"/>
        <w:spacing w:after="120" w:line="240" w:lineRule="auto"/>
        <w:jc w:val="both"/>
        <w:rPr>
          <w:rFonts w:ascii="Aptos" w:hAnsi="Aptos" w:cs="Calibri"/>
        </w:rPr>
      </w:pPr>
      <w:r w:rsidRPr="00122822">
        <w:rPr>
          <w:rFonts w:ascii="Aptos" w:hAnsi="Aptos" w:cs="Calibri"/>
        </w:rPr>
        <w:t xml:space="preserve">Η πρόσφατη ανάθεση έργου από τον ΑΔΜΗΕ ενισχύει κυρίως τη μεσοπρόθεσμη </w:t>
      </w:r>
      <w:r w:rsidR="004D6E0A">
        <w:rPr>
          <w:rFonts w:ascii="Aptos" w:hAnsi="Aptos" w:cs="Calibri"/>
        </w:rPr>
        <w:t xml:space="preserve">κερδοφορία του </w:t>
      </w:r>
      <w:r w:rsidR="00BC4263">
        <w:rPr>
          <w:rFonts w:ascii="Aptos" w:hAnsi="Aptos" w:cs="Calibri"/>
        </w:rPr>
        <w:t xml:space="preserve">τομέα </w:t>
      </w:r>
      <w:r w:rsidRPr="00122822">
        <w:rPr>
          <w:rFonts w:ascii="Aptos" w:hAnsi="Aptos" w:cs="Calibri"/>
        </w:rPr>
        <w:t xml:space="preserve">και όχι τα οικονομικά αποτελέσματα της τρέχουσας χρήσης, καθώς η παραγωγή αναμένεται να ξεκινήσει στα τέλη του 2027. </w:t>
      </w:r>
      <w:r w:rsidR="00BC4263">
        <w:rPr>
          <w:rFonts w:ascii="Aptos" w:hAnsi="Aptos" w:cs="Calibri"/>
        </w:rPr>
        <w:t xml:space="preserve"> Έτσι, η</w:t>
      </w:r>
      <w:r w:rsidRPr="00122822">
        <w:rPr>
          <w:rFonts w:ascii="Aptos" w:hAnsi="Aptos" w:cs="Calibri"/>
        </w:rPr>
        <w:t xml:space="preserve"> ολοκλήρωση των εργασιών </w:t>
      </w:r>
      <w:r w:rsidR="00BC4263">
        <w:rPr>
          <w:rFonts w:ascii="Aptos" w:hAnsi="Aptos" w:cs="Calibri"/>
        </w:rPr>
        <w:t xml:space="preserve">κατασκευής στο </w:t>
      </w:r>
      <w:r w:rsidRPr="00122822">
        <w:rPr>
          <w:rFonts w:ascii="Aptos" w:hAnsi="Aptos" w:cs="Calibri"/>
        </w:rPr>
        <w:t>Maryland έως το τέλος του έτους παραμένει βασική προτεραιότητα ενόψει της προγραμματισμένης έναρξης λειτουργίας τ</w:t>
      </w:r>
      <w:r w:rsidR="00BC4263">
        <w:rPr>
          <w:rFonts w:ascii="Aptos" w:hAnsi="Aptos" w:cs="Calibri"/>
        </w:rPr>
        <w:t>ου εργοστασίου</w:t>
      </w:r>
      <w:r w:rsidRPr="00122822">
        <w:rPr>
          <w:rFonts w:ascii="Aptos" w:hAnsi="Aptos" w:cs="Calibri"/>
        </w:rPr>
        <w:t>.</w:t>
      </w:r>
      <w:r w:rsidR="00BC4263">
        <w:rPr>
          <w:rFonts w:ascii="Aptos" w:hAnsi="Aptos" w:cs="Calibri"/>
        </w:rPr>
        <w:t xml:space="preserve"> </w:t>
      </w:r>
      <w:r>
        <w:rPr>
          <w:rFonts w:ascii="Aptos" w:hAnsi="Aptos" w:cs="Calibri"/>
        </w:rPr>
        <w:t xml:space="preserve"> </w:t>
      </w:r>
      <w:r w:rsidR="00935E6D" w:rsidRPr="00935E6D">
        <w:rPr>
          <w:rFonts w:ascii="Aptos" w:hAnsi="Aptos" w:cs="Calibri"/>
        </w:rPr>
        <w:t xml:space="preserve">Κατά το δεύτερο εξάμηνο, η κερδοφορία </w:t>
      </w:r>
      <w:r w:rsidR="00452B4F">
        <w:rPr>
          <w:rFonts w:ascii="Aptos" w:hAnsi="Aptos" w:cs="Calibri"/>
        </w:rPr>
        <w:t>θ</w:t>
      </w:r>
      <w:r w:rsidR="00935E6D" w:rsidRPr="00935E6D">
        <w:rPr>
          <w:rFonts w:ascii="Aptos" w:hAnsi="Aptos" w:cs="Calibri"/>
        </w:rPr>
        <w:t xml:space="preserve">α εξαρτηθεί από την ομαλή πρόοδο εκτέλεσης των ήδη αναληφθέντων έργων και από τη συνεχιζόμενη θετική συνεισφορά των </w:t>
      </w:r>
      <w:r w:rsidR="00452B4F">
        <w:rPr>
          <w:rFonts w:ascii="Aptos" w:hAnsi="Aptos" w:cs="Calibri"/>
        </w:rPr>
        <w:t xml:space="preserve">καλωδιακών </w:t>
      </w:r>
      <w:r w:rsidR="00935E6D" w:rsidRPr="00935E6D">
        <w:rPr>
          <w:rFonts w:ascii="Aptos" w:hAnsi="Aptos" w:cs="Calibri"/>
        </w:rPr>
        <w:t>προϊόντων.</w:t>
      </w:r>
    </w:p>
    <w:p w14:paraId="78E2036A" w14:textId="7372FAA9" w:rsidR="009D4CE7" w:rsidRPr="00935E6D" w:rsidRDefault="00935E6D" w:rsidP="005E0EB8">
      <w:pPr>
        <w:autoSpaceDE w:val="0"/>
        <w:autoSpaceDN w:val="0"/>
        <w:adjustRightInd w:val="0"/>
        <w:spacing w:after="120" w:line="240" w:lineRule="auto"/>
        <w:jc w:val="both"/>
        <w:rPr>
          <w:rFonts w:ascii="Aptos" w:hAnsi="Aptos" w:cs="Calibri"/>
        </w:rPr>
      </w:pPr>
      <w:r w:rsidRPr="00935E6D">
        <w:rPr>
          <w:rFonts w:ascii="Aptos" w:hAnsi="Aptos" w:cs="Calibri"/>
        </w:rPr>
        <w:t>Ο</w:t>
      </w:r>
      <w:r w:rsidR="00452B4F">
        <w:rPr>
          <w:rFonts w:ascii="Aptos" w:hAnsi="Aptos" w:cs="Calibri"/>
        </w:rPr>
        <w:t>ι</w:t>
      </w:r>
      <w:r w:rsidRPr="00935E6D">
        <w:rPr>
          <w:rFonts w:ascii="Aptos" w:hAnsi="Aptos" w:cs="Calibri"/>
        </w:rPr>
        <w:t xml:space="preserve"> </w:t>
      </w:r>
      <w:r w:rsidRPr="00935E6D">
        <w:rPr>
          <w:rFonts w:ascii="Aptos" w:hAnsi="Aptos" w:cs="Calibri"/>
          <w:b/>
          <w:bCs/>
        </w:rPr>
        <w:t>σωλήν</w:t>
      </w:r>
      <w:r w:rsidR="00452B4F">
        <w:rPr>
          <w:rFonts w:ascii="Aptos" w:hAnsi="Aptos" w:cs="Calibri"/>
          <w:b/>
          <w:bCs/>
        </w:rPr>
        <w:t>ες</w:t>
      </w:r>
      <w:r w:rsidRPr="00935E6D">
        <w:rPr>
          <w:rFonts w:ascii="Aptos" w:hAnsi="Aptos" w:cs="Calibri"/>
          <w:b/>
          <w:bCs/>
        </w:rPr>
        <w:t xml:space="preserve"> χάλυβα</w:t>
      </w:r>
      <w:r w:rsidRPr="00935E6D">
        <w:rPr>
          <w:rFonts w:ascii="Aptos" w:hAnsi="Aptos" w:cs="Calibri"/>
        </w:rPr>
        <w:t xml:space="preserve"> συνεχίζ</w:t>
      </w:r>
      <w:r w:rsidR="003A2CDC">
        <w:rPr>
          <w:rFonts w:ascii="Aptos" w:hAnsi="Aptos" w:cs="Calibri"/>
        </w:rPr>
        <w:t>ουν</w:t>
      </w:r>
      <w:r w:rsidRPr="00935E6D">
        <w:rPr>
          <w:rFonts w:ascii="Aptos" w:hAnsi="Aptos" w:cs="Calibri"/>
        </w:rPr>
        <w:t xml:space="preserve"> να επωφελ</w:t>
      </w:r>
      <w:r w:rsidR="003A2CDC">
        <w:rPr>
          <w:rFonts w:ascii="Aptos" w:hAnsi="Aptos" w:cs="Calibri"/>
        </w:rPr>
        <w:t>ούντ</w:t>
      </w:r>
      <w:r w:rsidRPr="00935E6D">
        <w:rPr>
          <w:rFonts w:ascii="Aptos" w:hAnsi="Aptos" w:cs="Calibri"/>
        </w:rPr>
        <w:t xml:space="preserve">αι από τη </w:t>
      </w:r>
      <w:r w:rsidR="00122822">
        <w:rPr>
          <w:rFonts w:ascii="Aptos" w:hAnsi="Aptos" w:cs="Calibri"/>
        </w:rPr>
        <w:t>ζήτηση</w:t>
      </w:r>
      <w:r w:rsidRPr="00935E6D">
        <w:rPr>
          <w:rFonts w:ascii="Aptos" w:hAnsi="Aptos" w:cs="Calibri"/>
        </w:rPr>
        <w:t xml:space="preserve"> για αξιόπιστες ενεργειακές υποδομές φυσικού αερίου </w:t>
      </w:r>
      <w:r w:rsidR="003A2CDC">
        <w:rPr>
          <w:rFonts w:ascii="Aptos" w:hAnsi="Aptos" w:cs="Calibri"/>
        </w:rPr>
        <w:t xml:space="preserve">που θα </w:t>
      </w:r>
      <w:r w:rsidR="00122822">
        <w:rPr>
          <w:rFonts w:ascii="Aptos" w:hAnsi="Aptos" w:cs="Calibri"/>
        </w:rPr>
        <w:t>ενισχύ</w:t>
      </w:r>
      <w:r w:rsidR="003A2CDC">
        <w:rPr>
          <w:rFonts w:ascii="Aptos" w:hAnsi="Aptos" w:cs="Calibri"/>
        </w:rPr>
        <w:t>σ</w:t>
      </w:r>
      <w:r w:rsidR="00122822">
        <w:rPr>
          <w:rFonts w:ascii="Aptos" w:hAnsi="Aptos" w:cs="Calibri"/>
        </w:rPr>
        <w:t>ουν την</w:t>
      </w:r>
      <w:r w:rsidRPr="00935E6D">
        <w:rPr>
          <w:rFonts w:ascii="Aptos" w:hAnsi="Aptos" w:cs="Calibri"/>
        </w:rPr>
        <w:t xml:space="preserve"> ενεργειακή ασφάλεια σ</w:t>
      </w:r>
      <w:r w:rsidR="003A2CDC">
        <w:rPr>
          <w:rFonts w:ascii="Aptos" w:hAnsi="Aptos" w:cs="Calibri"/>
        </w:rPr>
        <w:t xml:space="preserve">ε </w:t>
      </w:r>
      <w:r w:rsidRPr="00935E6D">
        <w:rPr>
          <w:rFonts w:ascii="Aptos" w:hAnsi="Aptos" w:cs="Calibri"/>
        </w:rPr>
        <w:t xml:space="preserve">Ευρώπη, Βόρεια Αμερική </w:t>
      </w:r>
      <w:r w:rsidR="003A2CDC">
        <w:rPr>
          <w:rFonts w:ascii="Aptos" w:hAnsi="Aptos" w:cs="Calibri"/>
        </w:rPr>
        <w:t xml:space="preserve">αλλά </w:t>
      </w:r>
      <w:r w:rsidRPr="00935E6D">
        <w:rPr>
          <w:rFonts w:ascii="Aptos" w:hAnsi="Aptos" w:cs="Calibri"/>
        </w:rPr>
        <w:t xml:space="preserve">και άλλες διεθνείς αγορές. </w:t>
      </w:r>
      <w:r w:rsidR="003A2CDC">
        <w:rPr>
          <w:rFonts w:ascii="Aptos" w:hAnsi="Aptos" w:cs="Calibri"/>
        </w:rPr>
        <w:t xml:space="preserve"> </w:t>
      </w:r>
      <w:r w:rsidRPr="00935E6D">
        <w:rPr>
          <w:rFonts w:ascii="Aptos" w:hAnsi="Aptos" w:cs="Calibri"/>
        </w:rPr>
        <w:t>Ταυτόχρονα,</w:t>
      </w:r>
      <w:r w:rsidR="00122822">
        <w:rPr>
          <w:rFonts w:ascii="Aptos" w:hAnsi="Aptos" w:cs="Calibri"/>
        </w:rPr>
        <w:t xml:space="preserve"> </w:t>
      </w:r>
      <w:r w:rsidR="00F839FF">
        <w:rPr>
          <w:rFonts w:ascii="Aptos" w:hAnsi="Aptos" w:cs="Calibri"/>
        </w:rPr>
        <w:t>σε αρκετές χώρες</w:t>
      </w:r>
      <w:r w:rsidR="00F839FF" w:rsidRPr="00935E6D">
        <w:rPr>
          <w:rFonts w:ascii="Aptos" w:hAnsi="Aptos" w:cs="Calibri"/>
        </w:rPr>
        <w:t xml:space="preserve"> </w:t>
      </w:r>
      <w:r w:rsidRPr="00935E6D">
        <w:rPr>
          <w:rFonts w:ascii="Aptos" w:hAnsi="Aptos" w:cs="Calibri"/>
        </w:rPr>
        <w:t xml:space="preserve">τα έργα δέσμευσης και αποθήκευσης διοξειδίου του άνθρακα (CCS) μεταβαίνουν από το στάδιο του σχεδιασμού στη φάση της υλοποίησης, δημιουργώντας μια σημαντική αγορά </w:t>
      </w:r>
      <w:r w:rsidR="00F839FF">
        <w:rPr>
          <w:rFonts w:ascii="Aptos" w:hAnsi="Aptos" w:cs="Calibri"/>
        </w:rPr>
        <w:t>που</w:t>
      </w:r>
      <w:r w:rsidRPr="00935E6D">
        <w:rPr>
          <w:rFonts w:ascii="Aptos" w:hAnsi="Aptos" w:cs="Calibri"/>
        </w:rPr>
        <w:t xml:space="preserve"> ευθυγραμμίζεται πλήρως με τις εξειδικευμένες δυνατότητες παραγωγής και επικάλυψης σωλήνων της Σωληνουργεία Κορίνθου. </w:t>
      </w:r>
      <w:r w:rsidR="00F839FF">
        <w:rPr>
          <w:rFonts w:ascii="Aptos" w:hAnsi="Aptos" w:cs="Calibri"/>
        </w:rPr>
        <w:t xml:space="preserve"> </w:t>
      </w:r>
      <w:r w:rsidRPr="00935E6D">
        <w:rPr>
          <w:rFonts w:ascii="Aptos" w:hAnsi="Aptos" w:cs="Calibri"/>
        </w:rPr>
        <w:t xml:space="preserve">Οι ευκαιρίες που σχετίζονται με το υδρογόνο εξακολουθούν να βρίσκονται </w:t>
      </w:r>
      <w:r w:rsidR="0009252F">
        <w:rPr>
          <w:rFonts w:ascii="Aptos" w:hAnsi="Aptos" w:cs="Calibri"/>
        </w:rPr>
        <w:t xml:space="preserve">πιο μακριά στον </w:t>
      </w:r>
      <w:r w:rsidRPr="00935E6D">
        <w:rPr>
          <w:rFonts w:ascii="Aptos" w:hAnsi="Aptos" w:cs="Calibri"/>
        </w:rPr>
        <w:t xml:space="preserve">ορίζοντα, παραμένουν </w:t>
      </w:r>
      <w:r w:rsidR="0009252F" w:rsidRPr="00935E6D">
        <w:rPr>
          <w:rFonts w:ascii="Aptos" w:hAnsi="Aptos" w:cs="Calibri"/>
        </w:rPr>
        <w:t xml:space="preserve">ωστόσο </w:t>
      </w:r>
      <w:r w:rsidR="0009252F">
        <w:rPr>
          <w:rFonts w:ascii="Aptos" w:hAnsi="Aptos" w:cs="Calibri"/>
        </w:rPr>
        <w:t>ουσιαστικό</w:t>
      </w:r>
      <w:r w:rsidRPr="00935E6D">
        <w:rPr>
          <w:rFonts w:ascii="Aptos" w:hAnsi="Aptos" w:cs="Calibri"/>
        </w:rPr>
        <w:t xml:space="preserve"> στοιχείο του τεχνολογικού σχεδιασμού και των διαδικασιών πιστοποίησης του τομέα.</w:t>
      </w:r>
    </w:p>
    <w:p w14:paraId="11AA010E" w14:textId="44AEFC7C" w:rsidR="009D4CE7" w:rsidRPr="006275F0" w:rsidRDefault="00935E6D" w:rsidP="005E0EB8">
      <w:pPr>
        <w:autoSpaceDE w:val="0"/>
        <w:autoSpaceDN w:val="0"/>
        <w:adjustRightInd w:val="0"/>
        <w:spacing w:after="120" w:line="240" w:lineRule="auto"/>
        <w:jc w:val="both"/>
        <w:rPr>
          <w:rFonts w:ascii="Aptos" w:hAnsi="Aptos" w:cs="Calibri"/>
        </w:rPr>
      </w:pPr>
      <w:r w:rsidRPr="00935E6D">
        <w:rPr>
          <w:rFonts w:ascii="Aptos" w:hAnsi="Aptos" w:cs="Calibri"/>
        </w:rPr>
        <w:t xml:space="preserve">Το υφιστάμενο ανεκτέλεστο υπόλοιπο παραγγελιών εξασφαλίζει </w:t>
      </w:r>
      <w:r w:rsidR="00DF0E74">
        <w:rPr>
          <w:rFonts w:ascii="Aptos" w:hAnsi="Aptos" w:cs="Calibri"/>
        </w:rPr>
        <w:t xml:space="preserve">έσοδα και υψηλά επίπεδα δραστηριοποίησης </w:t>
      </w:r>
      <w:r w:rsidRPr="00935E6D">
        <w:rPr>
          <w:rFonts w:ascii="Aptos" w:hAnsi="Aptos" w:cs="Calibri"/>
        </w:rPr>
        <w:t>για τους επόμενους περίπου 15 μήνες, ενώ τα αποτελέσματα του τομέα θα συνεχίσουν να επηρεάζονται από το χρονοδιάγραμμα και το μείγμα των έργων που εκτελούνται στη μονάδα της Θίσβης.</w:t>
      </w:r>
      <w:r w:rsidR="00122822">
        <w:rPr>
          <w:rFonts w:ascii="Aptos" w:hAnsi="Aptos" w:cs="Calibri"/>
        </w:rPr>
        <w:t xml:space="preserve"> </w:t>
      </w:r>
      <w:r w:rsidR="0080233F">
        <w:rPr>
          <w:rFonts w:ascii="Aptos" w:hAnsi="Aptos" w:cs="Calibri"/>
        </w:rPr>
        <w:t xml:space="preserve">Παράλληλα, στη </w:t>
      </w:r>
      <w:r w:rsidR="00B15B00">
        <w:rPr>
          <w:rFonts w:ascii="Aptos" w:hAnsi="Aptos" w:cs="Calibri"/>
        </w:rPr>
        <w:t xml:space="preserve">νέα </w:t>
      </w:r>
      <w:r w:rsidR="0080233F">
        <w:rPr>
          <w:rFonts w:ascii="Aptos" w:hAnsi="Aptos" w:cs="Calibri"/>
        </w:rPr>
        <w:t xml:space="preserve">μονάδα </w:t>
      </w:r>
      <w:r w:rsidR="00B15B00">
        <w:rPr>
          <w:rFonts w:ascii="Aptos" w:hAnsi="Aptos" w:cs="Calibri"/>
        </w:rPr>
        <w:t>της Αγγλίας</w:t>
      </w:r>
      <w:r w:rsidR="00122822" w:rsidRPr="00122822">
        <w:rPr>
          <w:rFonts w:ascii="Aptos" w:hAnsi="Aptos" w:cs="Calibri"/>
        </w:rPr>
        <w:t xml:space="preserve">, </w:t>
      </w:r>
      <w:r w:rsidR="0080233F">
        <w:rPr>
          <w:rFonts w:ascii="Aptos" w:hAnsi="Aptos" w:cs="Calibri"/>
        </w:rPr>
        <w:t>δρομολογούνται</w:t>
      </w:r>
      <w:r w:rsidR="00122822" w:rsidRPr="00122822">
        <w:rPr>
          <w:rFonts w:ascii="Aptos" w:hAnsi="Aptos" w:cs="Calibri"/>
        </w:rPr>
        <w:t xml:space="preserve"> για τους επόμενους μήνες έργα εκσυγχρονισμού των υποδομών και της παραγωγικής διαδικασίας, καθώς και τεχνολογικές αναβαθμίσεις. </w:t>
      </w:r>
      <w:r w:rsidR="00B15B00">
        <w:rPr>
          <w:rFonts w:ascii="Aptos" w:hAnsi="Aptos" w:cs="Calibri"/>
        </w:rPr>
        <w:t xml:space="preserve"> </w:t>
      </w:r>
      <w:r w:rsidR="0080233F" w:rsidRPr="0080233F">
        <w:rPr>
          <w:rFonts w:ascii="Aptos" w:hAnsi="Aptos" w:cs="Calibri"/>
        </w:rPr>
        <w:t>Οι παρεμβάσεις αυτές θα επιτρέψουν την ταχεία ενσωμάτωσ</w:t>
      </w:r>
      <w:r w:rsidR="00B15B00">
        <w:rPr>
          <w:rFonts w:ascii="Aptos" w:hAnsi="Aptos" w:cs="Calibri"/>
        </w:rPr>
        <w:t>ή</w:t>
      </w:r>
      <w:r w:rsidR="0080233F" w:rsidRPr="0080233F">
        <w:rPr>
          <w:rFonts w:ascii="Aptos" w:hAnsi="Aptos" w:cs="Calibri"/>
        </w:rPr>
        <w:t xml:space="preserve"> της στα λειτουργικά πρότυπα του κλάδου, αξιοποιώντας τις παραγωγικές της δυνατότητες και το έμπειρο ανθρώπινο δυναμικό της, ώστε να επωφεληθεί από την ισχυρή δυναμική της αγοράς.</w:t>
      </w:r>
      <w:r w:rsidRPr="00935E6D">
        <w:rPr>
          <w:rFonts w:ascii="Aptos" w:hAnsi="Aptos" w:cs="Calibri"/>
        </w:rPr>
        <w:t xml:space="preserve"> </w:t>
      </w:r>
    </w:p>
    <w:p w14:paraId="1639B544" w14:textId="365C9B1B" w:rsidR="00935E6D" w:rsidRPr="00935E6D" w:rsidRDefault="00935E6D" w:rsidP="005E0EB8">
      <w:pPr>
        <w:autoSpaceDE w:val="0"/>
        <w:autoSpaceDN w:val="0"/>
        <w:adjustRightInd w:val="0"/>
        <w:spacing w:after="120" w:line="240" w:lineRule="auto"/>
        <w:jc w:val="both"/>
        <w:rPr>
          <w:rFonts w:ascii="Aptos" w:hAnsi="Aptos"/>
          <w:b/>
          <w:bCs/>
          <w:color w:val="44546A" w:themeColor="text2"/>
        </w:rPr>
      </w:pPr>
      <w:r w:rsidRPr="00A253E7">
        <w:rPr>
          <w:rFonts w:ascii="Aptos" w:hAnsi="Aptos"/>
          <w:b/>
          <w:bCs/>
          <w:color w:val="44546A" w:themeColor="text2"/>
        </w:rPr>
        <w:t>Αναθεωρημέν</w:t>
      </w:r>
      <w:r w:rsidR="00A253E7" w:rsidRPr="00A253E7">
        <w:rPr>
          <w:rFonts w:ascii="Aptos" w:hAnsi="Aptos"/>
          <w:b/>
          <w:bCs/>
          <w:color w:val="44546A" w:themeColor="text2"/>
        </w:rPr>
        <w:t>ες οικονομικές</w:t>
      </w:r>
      <w:r w:rsidRPr="00A253E7">
        <w:rPr>
          <w:rFonts w:ascii="Aptos" w:hAnsi="Aptos"/>
          <w:b/>
          <w:bCs/>
          <w:color w:val="44546A" w:themeColor="text2"/>
        </w:rPr>
        <w:t xml:space="preserve"> </w:t>
      </w:r>
      <w:r w:rsidR="00A253E7" w:rsidRPr="00A253E7">
        <w:rPr>
          <w:rFonts w:ascii="Aptos" w:hAnsi="Aptos"/>
          <w:b/>
          <w:bCs/>
          <w:color w:val="44546A" w:themeColor="text2"/>
        </w:rPr>
        <w:t>εκτιμήσ</w:t>
      </w:r>
      <w:r w:rsidR="00A253E7">
        <w:rPr>
          <w:rFonts w:ascii="Aptos" w:hAnsi="Aptos"/>
          <w:b/>
          <w:bCs/>
          <w:color w:val="44546A" w:themeColor="text2"/>
        </w:rPr>
        <w:t>εις</w:t>
      </w:r>
      <w:r w:rsidRPr="00935E6D">
        <w:rPr>
          <w:rFonts w:ascii="Aptos" w:hAnsi="Aptos"/>
          <w:b/>
          <w:bCs/>
          <w:color w:val="44546A" w:themeColor="text2"/>
        </w:rPr>
        <w:t xml:space="preserve"> για το έτος 2026</w:t>
      </w:r>
    </w:p>
    <w:p w14:paraId="456663EE" w14:textId="11FE86C8" w:rsidR="009D4CE7" w:rsidRPr="00935E6D" w:rsidRDefault="00935E6D" w:rsidP="005E0EB8">
      <w:pPr>
        <w:autoSpaceDE w:val="0"/>
        <w:autoSpaceDN w:val="0"/>
        <w:adjustRightInd w:val="0"/>
        <w:spacing w:after="120" w:line="240" w:lineRule="auto"/>
        <w:jc w:val="both"/>
        <w:rPr>
          <w:rFonts w:ascii="Aptos" w:hAnsi="Aptos" w:cs="Calibri"/>
        </w:rPr>
      </w:pPr>
      <w:r w:rsidRPr="00935E6D">
        <w:rPr>
          <w:rFonts w:ascii="Aptos" w:hAnsi="Aptos" w:cs="Calibri"/>
        </w:rPr>
        <w:t>Λαμβάνοντας υπόψη τις επιδόσεις του πρώτου εξαμήνου και το μείγμα έργων που αναμένεται να εκτελεστ</w:t>
      </w:r>
      <w:r w:rsidR="00140D50">
        <w:rPr>
          <w:rFonts w:ascii="Aptos" w:hAnsi="Aptos" w:cs="Calibri"/>
        </w:rPr>
        <w:t>εί</w:t>
      </w:r>
      <w:r w:rsidRPr="00935E6D">
        <w:rPr>
          <w:rFonts w:ascii="Aptos" w:hAnsi="Aptos" w:cs="Calibri"/>
        </w:rPr>
        <w:t xml:space="preserve"> κατά το δεύτερο εξάμηνο του έτους, η </w:t>
      </w:r>
      <w:r w:rsidRPr="00935E6D">
        <w:rPr>
          <w:rFonts w:ascii="Aptos" w:hAnsi="Aptos" w:cs="Calibri"/>
          <w:lang w:val="en-GB"/>
        </w:rPr>
        <w:t>Cenergy</w:t>
      </w:r>
      <w:r w:rsidRPr="00935E6D">
        <w:rPr>
          <w:rFonts w:ascii="Aptos" w:hAnsi="Aptos" w:cs="Calibri"/>
        </w:rPr>
        <w:t xml:space="preserve"> </w:t>
      </w:r>
      <w:r w:rsidRPr="00935E6D">
        <w:rPr>
          <w:rFonts w:ascii="Aptos" w:hAnsi="Aptos" w:cs="Calibri"/>
          <w:lang w:val="en-GB"/>
        </w:rPr>
        <w:t>Holdings</w:t>
      </w:r>
      <w:r w:rsidRPr="00935E6D">
        <w:rPr>
          <w:rFonts w:ascii="Aptos" w:hAnsi="Aptos" w:cs="Calibri"/>
        </w:rPr>
        <w:t xml:space="preserve"> ανα</w:t>
      </w:r>
      <w:r w:rsidR="00BB6229">
        <w:rPr>
          <w:rFonts w:ascii="Aptos" w:hAnsi="Aptos" w:cs="Calibri"/>
        </w:rPr>
        <w:t>προσαρμόζει</w:t>
      </w:r>
      <w:r w:rsidRPr="00935E6D">
        <w:rPr>
          <w:rFonts w:ascii="Aptos" w:hAnsi="Aptos" w:cs="Calibri"/>
        </w:rPr>
        <w:t xml:space="preserve"> την εκτίμησή της για το αναπροσαρμοσμένο </w:t>
      </w:r>
      <w:r w:rsidRPr="00935E6D">
        <w:rPr>
          <w:rFonts w:ascii="Aptos" w:hAnsi="Aptos" w:cs="Calibri"/>
          <w:lang w:val="en-GB"/>
        </w:rPr>
        <w:t>EBITDA</w:t>
      </w:r>
      <w:r w:rsidRPr="00935E6D">
        <w:rPr>
          <w:rFonts w:ascii="Aptos" w:hAnsi="Aptos" w:cs="Calibri"/>
        </w:rPr>
        <w:t xml:space="preserve"> της χρήσης 2026 </w:t>
      </w:r>
      <w:r w:rsidR="00140D50">
        <w:rPr>
          <w:rFonts w:ascii="Aptos" w:hAnsi="Aptos" w:cs="Calibri"/>
        </w:rPr>
        <w:t xml:space="preserve">μεταξύ </w:t>
      </w:r>
      <w:r w:rsidRPr="00935E6D">
        <w:rPr>
          <w:rFonts w:ascii="Aptos" w:hAnsi="Aptos" w:cs="Calibri"/>
        </w:rPr>
        <w:t>390 και 420 εκατ. ευρώ, από το προηγούμενο εύρος των 370 έως 400 εκατ. ευρώ.</w:t>
      </w:r>
    </w:p>
    <w:p w14:paraId="27FDB5B9" w14:textId="701D4476" w:rsidR="00935E6D" w:rsidRPr="00935E6D" w:rsidRDefault="00935E6D" w:rsidP="005E0EB8">
      <w:pPr>
        <w:autoSpaceDE w:val="0"/>
        <w:autoSpaceDN w:val="0"/>
        <w:adjustRightInd w:val="0"/>
        <w:spacing w:after="120" w:line="240" w:lineRule="auto"/>
        <w:jc w:val="both"/>
        <w:rPr>
          <w:rFonts w:ascii="Aptos" w:hAnsi="Aptos" w:cs="Calibri"/>
        </w:rPr>
      </w:pPr>
      <w:r w:rsidRPr="00935E6D">
        <w:rPr>
          <w:rFonts w:ascii="Aptos" w:hAnsi="Aptos" w:cs="Calibri"/>
        </w:rPr>
        <w:t>Η αναθεωρημένη εκτίμηση βασίζεται στις ακόλουθες παραδοχές: (</w:t>
      </w:r>
      <w:r>
        <w:rPr>
          <w:rFonts w:ascii="Aptos" w:hAnsi="Aptos" w:cs="Calibri"/>
          <w:lang w:val="en-US"/>
        </w:rPr>
        <w:t>i</w:t>
      </w:r>
      <w:r w:rsidRPr="00935E6D">
        <w:rPr>
          <w:rFonts w:ascii="Aptos" w:hAnsi="Aptos" w:cs="Calibri"/>
        </w:rPr>
        <w:t>) ομαλή εκτέλεση των προγραμματισμένων έργων και στους δύο επιχειρηματικούς τομείς, (</w:t>
      </w:r>
      <w:r>
        <w:rPr>
          <w:rFonts w:ascii="Aptos" w:hAnsi="Aptos" w:cs="Calibri"/>
          <w:lang w:val="en-US"/>
        </w:rPr>
        <w:t>ii</w:t>
      </w:r>
      <w:r w:rsidRPr="00935E6D">
        <w:rPr>
          <w:rFonts w:ascii="Aptos" w:hAnsi="Aptos" w:cs="Calibri"/>
        </w:rPr>
        <w:t>) συνέχιση της ισχυρής ζήτησης για προϊόντα καλωδίων, (</w:t>
      </w:r>
      <w:r>
        <w:rPr>
          <w:rFonts w:ascii="Aptos" w:hAnsi="Aptos" w:cs="Calibri"/>
          <w:lang w:val="en-US"/>
        </w:rPr>
        <w:t>iii</w:t>
      </w:r>
      <w:r w:rsidRPr="00935E6D">
        <w:rPr>
          <w:rFonts w:ascii="Aptos" w:hAnsi="Aptos" w:cs="Calibri"/>
        </w:rPr>
        <w:t xml:space="preserve">) </w:t>
      </w:r>
      <w:r w:rsidR="00A253E7" w:rsidRPr="00A253E7">
        <w:rPr>
          <w:rFonts w:ascii="Aptos" w:hAnsi="Aptos" w:cs="Calibri"/>
        </w:rPr>
        <w:t>διατήρηση της ομαλής διαθεσιμότητας των βασικών πρώτων υλών χωρίς ουσιώδη επιβάρυνση του κόστους τους</w:t>
      </w:r>
      <w:r w:rsidRPr="00935E6D">
        <w:rPr>
          <w:rFonts w:ascii="Aptos" w:hAnsi="Aptos" w:cs="Calibri"/>
        </w:rPr>
        <w:t>, (</w:t>
      </w:r>
      <w:r>
        <w:rPr>
          <w:rFonts w:ascii="Aptos" w:hAnsi="Aptos" w:cs="Calibri"/>
          <w:lang w:val="en-US"/>
        </w:rPr>
        <w:t>iv</w:t>
      </w:r>
      <w:r w:rsidRPr="00935E6D">
        <w:rPr>
          <w:rFonts w:ascii="Aptos" w:hAnsi="Aptos" w:cs="Calibri"/>
        </w:rPr>
        <w:t>) περιορισμένος οικονομικός αντίκτυπος από γεωπολιτικές εξελίξεις, δασμούς, διακυμάνσεις συναλλαγματικών ισοτιμιών, διαταραχές στην εφοδιαστική αλυσίδα ή άλλους παράγοντες εκτός του ελέγχου του Ομίλου.</w:t>
      </w:r>
      <w:r w:rsidRPr="00935E6D">
        <w:t xml:space="preserve"> </w:t>
      </w:r>
      <w:r w:rsidR="00E6491F">
        <w:t xml:space="preserve"> </w:t>
      </w:r>
      <w:r w:rsidRPr="00935E6D">
        <w:rPr>
          <w:rFonts w:ascii="Aptos" w:hAnsi="Aptos" w:cs="Calibri"/>
        </w:rPr>
        <w:t>Η διοίκηση επισημαίνει ότι η κερδοφορία ενδέχεται να παρουσιάζει διακυμάνσεις από τρίμηνο σε τρίμηνο λόγω του διαφορετικού χρονοδιαγράμματος εκτέλεσης και του μείγματος των έργων και, ως εκ τούτου, τα τριμηνιαία αποτελέσματα δεν θα πρέπει να προβάλλονται μηχανιστικά σε ετήσια βάση.</w:t>
      </w:r>
    </w:p>
    <w:p w14:paraId="0B495347" w14:textId="230F707A" w:rsidR="00935E6D" w:rsidRDefault="00935E6D" w:rsidP="005E0EB8">
      <w:pPr>
        <w:autoSpaceDE w:val="0"/>
        <w:autoSpaceDN w:val="0"/>
        <w:adjustRightInd w:val="0"/>
        <w:spacing w:after="120" w:line="240" w:lineRule="auto"/>
        <w:jc w:val="both"/>
        <w:rPr>
          <w:rFonts w:ascii="Aptos" w:hAnsi="Aptos" w:cs="Calibri"/>
        </w:rPr>
      </w:pPr>
      <w:r w:rsidRPr="00935E6D">
        <w:rPr>
          <w:rFonts w:ascii="Aptos" w:hAnsi="Aptos" w:cs="Calibri"/>
        </w:rPr>
        <w:t xml:space="preserve">Η </w:t>
      </w:r>
      <w:r w:rsidRPr="00935E6D">
        <w:rPr>
          <w:rFonts w:ascii="Aptos" w:hAnsi="Aptos" w:cs="Calibri"/>
          <w:lang w:val="en-GB"/>
        </w:rPr>
        <w:t>Cenergy</w:t>
      </w:r>
      <w:r w:rsidRPr="00935E6D">
        <w:rPr>
          <w:rFonts w:ascii="Aptos" w:hAnsi="Aptos" w:cs="Calibri"/>
        </w:rPr>
        <w:t xml:space="preserve"> </w:t>
      </w:r>
      <w:r w:rsidRPr="00935E6D">
        <w:rPr>
          <w:rFonts w:ascii="Aptos" w:hAnsi="Aptos" w:cs="Calibri"/>
          <w:lang w:val="en-GB"/>
        </w:rPr>
        <w:t>Holdings</w:t>
      </w:r>
      <w:r w:rsidRPr="00935E6D">
        <w:rPr>
          <w:rFonts w:ascii="Aptos" w:hAnsi="Aptos" w:cs="Calibri"/>
        </w:rPr>
        <w:t xml:space="preserve"> παραμένει προσηλωμένη στη </w:t>
      </w:r>
      <w:r w:rsidR="00367BEF">
        <w:rPr>
          <w:rFonts w:ascii="Aptos" w:hAnsi="Aptos" w:cs="Calibri"/>
        </w:rPr>
        <w:t xml:space="preserve">αύξηση </w:t>
      </w:r>
      <w:r w:rsidR="008068AC">
        <w:rPr>
          <w:rFonts w:ascii="Aptos" w:hAnsi="Aptos" w:cs="Calibri"/>
        </w:rPr>
        <w:t xml:space="preserve">κερδοφορίας </w:t>
      </w:r>
      <w:r w:rsidR="00367BEF">
        <w:rPr>
          <w:rFonts w:ascii="Aptos" w:hAnsi="Aptos" w:cs="Calibri"/>
        </w:rPr>
        <w:t xml:space="preserve">και </w:t>
      </w:r>
      <w:r w:rsidRPr="00935E6D">
        <w:rPr>
          <w:rFonts w:ascii="Aptos" w:hAnsi="Aptos" w:cs="Calibri"/>
        </w:rPr>
        <w:t>αξίας.</w:t>
      </w:r>
    </w:p>
    <w:p w14:paraId="0E7F0A7D" w14:textId="77777777" w:rsidR="00935E6D" w:rsidRPr="0010732A" w:rsidRDefault="00935E6D" w:rsidP="005E0EB8">
      <w:pPr>
        <w:autoSpaceDE w:val="0"/>
        <w:autoSpaceDN w:val="0"/>
        <w:adjustRightInd w:val="0"/>
        <w:spacing w:after="120" w:line="240" w:lineRule="auto"/>
        <w:jc w:val="both"/>
        <w:rPr>
          <w:rFonts w:ascii="Aptos" w:eastAsia="SimSun" w:hAnsi="Aptos" w:cs="Calibri"/>
          <w:b/>
          <w:bCs/>
          <w:color w:val="4F6228"/>
          <w:sz w:val="24"/>
          <w:szCs w:val="24"/>
        </w:rPr>
      </w:pPr>
      <w:r w:rsidRPr="0010732A">
        <w:rPr>
          <w:rFonts w:ascii="Aptos" w:eastAsia="SimSun" w:hAnsi="Aptos" w:cs="Calibri"/>
          <w:b/>
          <w:bCs/>
          <w:color w:val="4F6228"/>
          <w:sz w:val="24"/>
          <w:szCs w:val="24"/>
        </w:rPr>
        <w:lastRenderedPageBreak/>
        <w:t>Μεταγενέστερα Γεγονότα</w:t>
      </w:r>
    </w:p>
    <w:p w14:paraId="36270C0D" w14:textId="77777777" w:rsidR="00935E6D" w:rsidRPr="0010732A" w:rsidRDefault="00935E6D" w:rsidP="005E0EB8">
      <w:pPr>
        <w:keepNext/>
        <w:keepLines/>
        <w:widowControl w:val="0"/>
        <w:spacing w:after="120" w:line="240" w:lineRule="auto"/>
        <w:jc w:val="both"/>
        <w:outlineLvl w:val="1"/>
        <w:rPr>
          <w:rFonts w:ascii="Aptos" w:hAnsi="Aptos" w:cs="Calibri"/>
        </w:rPr>
      </w:pPr>
      <w:r w:rsidRPr="00935E6D">
        <w:rPr>
          <w:rFonts w:ascii="Aptos" w:hAnsi="Aptos" w:cs="Calibri"/>
        </w:rPr>
        <w:t>Δεν υπάρχουν μεταγενέστερα γεγονότα που να επηρεάζουν τις Συνοπτικές Ενοποιημένες Οικονομικές Πληροφορίες που παρουσιάζονται στο παρόν Δελτίο Τύπου.</w:t>
      </w:r>
    </w:p>
    <w:p w14:paraId="33E1161F" w14:textId="77777777" w:rsidR="00935E6D" w:rsidRPr="0010732A" w:rsidRDefault="00935E6D" w:rsidP="005E0EB8">
      <w:pPr>
        <w:autoSpaceDE w:val="0"/>
        <w:autoSpaceDN w:val="0"/>
        <w:adjustRightInd w:val="0"/>
        <w:spacing w:after="120" w:line="240" w:lineRule="auto"/>
        <w:jc w:val="both"/>
        <w:rPr>
          <w:rFonts w:ascii="Aptos" w:eastAsia="SimSun" w:hAnsi="Aptos" w:cs="Calibri"/>
          <w:b/>
          <w:bCs/>
          <w:color w:val="4F6228"/>
          <w:sz w:val="24"/>
          <w:szCs w:val="24"/>
        </w:rPr>
      </w:pPr>
      <w:r w:rsidRPr="0010732A">
        <w:rPr>
          <w:rFonts w:ascii="Aptos" w:eastAsia="SimSun" w:hAnsi="Aptos" w:cs="Calibri"/>
          <w:b/>
          <w:bCs/>
          <w:color w:val="4F6228"/>
          <w:sz w:val="24"/>
          <w:szCs w:val="24"/>
        </w:rPr>
        <w:t>Έκθεση του Ελεγκτή</w:t>
      </w:r>
    </w:p>
    <w:p w14:paraId="5ACF7B8E" w14:textId="77777777" w:rsidR="00BC0C25" w:rsidRPr="00BC0C25" w:rsidRDefault="00BC0C25" w:rsidP="00BC0C25">
      <w:pPr>
        <w:widowControl w:val="0"/>
        <w:spacing w:after="120" w:line="240" w:lineRule="auto"/>
        <w:jc w:val="both"/>
        <w:outlineLvl w:val="1"/>
        <w:rPr>
          <w:rFonts w:ascii="Aptos" w:hAnsi="Aptos" w:cs="Calibri"/>
        </w:rPr>
      </w:pPr>
      <w:bookmarkStart w:id="9" w:name="_Hlk159577407"/>
      <w:r w:rsidRPr="00BC0C25">
        <w:rPr>
          <w:rFonts w:ascii="Aptos" w:hAnsi="Aptos" w:cs="Calibri"/>
        </w:rPr>
        <w:t>Η ενδιάμεση έκθεση για την εξάμηνη περίοδο που έληξε στις 30 Ιουνίου 2026 (ρυθμιζόμενη πληροφορία σύμφωνα με το Βασιλικό Διάταγμα του Βελγίου της 14ης Νοεμβρίου 2007), η οποία περιλαμβάνει την επιχειρηματική επίδοση του Ομίλου Cenergy Holdings για την εν λόγω περίοδο, τις ενδιάμεσες ενοποιημένες οικονομικές καταστάσεις που έχουν συνταχθεί σύμφωνα με το ΔΛΠ 34, τη Δήλωση της Διοίκησης και την Έκθεση Επισκόπησης των ορκωτών ελεγκτών, θα δημοσιευθεί στις 16 Σεπτεμβρίου 2026.</w:t>
      </w:r>
    </w:p>
    <w:p w14:paraId="7A0DEE34" w14:textId="64C3D2AC" w:rsidR="00E6491F" w:rsidRDefault="00BC0C25" w:rsidP="00BC0C25">
      <w:pPr>
        <w:widowControl w:val="0"/>
        <w:spacing w:after="120" w:line="240" w:lineRule="auto"/>
        <w:jc w:val="both"/>
        <w:outlineLvl w:val="1"/>
        <w:rPr>
          <w:rFonts w:ascii="Aptos" w:hAnsi="Aptos" w:cs="Calibri"/>
        </w:rPr>
      </w:pPr>
      <w:r w:rsidRPr="00BC0C25">
        <w:rPr>
          <w:rFonts w:ascii="Aptos" w:hAnsi="Aptos" w:cs="Calibri"/>
        </w:rPr>
        <w:t>Ο ορκωτός ελεγκτής έχει επιβεβαιώσει ότι η επισκόπηση, η οποία έχει ουσιωδώς ολοκληρωθεί, δεν έχει μέχρι σήμερα εντοπίσει οποιαδήποτε ουσιώδη ανακρίβεια στο προσχέδιο των ενδιάμεσων ενοποιημένων οικονομικών καταστάσεων και ότι οι χρηματοοικονομικές πληροφορίες που αναφέρονται στο Δελτίο Τύπου είναι συνεπείς, από κάθε ουσιώδη άποψη, με το προσχέδιο των ενδιάμεσων ενοποιημένων οικονομικών καταστάσεων από τις οποίες έχουν προκύψει</w:t>
      </w:r>
      <w:r w:rsidR="00113D3E">
        <w:rPr>
          <w:rFonts w:ascii="Aptos" w:hAnsi="Aptos" w:cs="Calibri"/>
        </w:rPr>
        <w:t>.</w:t>
      </w:r>
    </w:p>
    <w:p w14:paraId="3F9CD466" w14:textId="6E7488EE" w:rsidR="00B63450" w:rsidRPr="00A253E7" w:rsidRDefault="00935E6D" w:rsidP="00BE5E19">
      <w:pPr>
        <w:keepNext/>
        <w:keepLines/>
        <w:widowControl w:val="0"/>
        <w:tabs>
          <w:tab w:val="left" w:pos="2850"/>
        </w:tabs>
        <w:spacing w:before="240" w:after="120" w:line="240" w:lineRule="auto"/>
        <w:jc w:val="both"/>
        <w:outlineLvl w:val="1"/>
        <w:rPr>
          <w:rFonts w:ascii="Aptos" w:eastAsia="SimSun" w:hAnsi="Aptos" w:cs="Calibri"/>
          <w:b/>
          <w:bCs/>
          <w:color w:val="4F6228"/>
          <w:sz w:val="24"/>
          <w:szCs w:val="24"/>
        </w:rPr>
      </w:pPr>
      <w:r w:rsidRPr="00A253E7">
        <w:rPr>
          <w:rFonts w:ascii="Aptos" w:eastAsia="SimSun" w:hAnsi="Aptos" w:cs="Calibri"/>
          <w:b/>
          <w:bCs/>
          <w:color w:val="4F6228"/>
          <w:sz w:val="24"/>
          <w:szCs w:val="24"/>
        </w:rPr>
        <w:t>Οικονομικό ημερολόγιο</w:t>
      </w:r>
    </w:p>
    <w:tbl>
      <w:tblPr>
        <w:tblStyle w:val="GridTable4-Accent61"/>
        <w:tblW w:w="5000" w:type="pct"/>
        <w:tblLook w:val="04A0" w:firstRow="1" w:lastRow="0" w:firstColumn="1" w:lastColumn="0" w:noHBand="0" w:noVBand="1"/>
      </w:tblPr>
      <w:tblGrid>
        <w:gridCol w:w="7199"/>
        <w:gridCol w:w="2769"/>
      </w:tblGrid>
      <w:tr w:rsidR="00935E6D" w:rsidRPr="00BE5E19" w14:paraId="1C42A6BC" w14:textId="77777777" w:rsidTr="0080233F">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3611" w:type="pct"/>
            <w:shd w:val="clear" w:color="auto" w:fill="385623" w:themeFill="accent6" w:themeFillShade="80"/>
            <w:noWrap/>
          </w:tcPr>
          <w:p w14:paraId="098157DB" w14:textId="7B3703B9" w:rsidR="00935E6D" w:rsidRPr="00BE5E19" w:rsidRDefault="00935E6D" w:rsidP="00935E6D">
            <w:pPr>
              <w:spacing w:after="120" w:line="240" w:lineRule="auto"/>
              <w:jc w:val="both"/>
              <w:rPr>
                <w:rFonts w:ascii="Aptos" w:hAnsi="Aptos" w:cs="Calibri"/>
                <w:bCs w:val="0"/>
                <w:lang w:val="en-GB"/>
              </w:rPr>
            </w:pPr>
            <w:r w:rsidRPr="003C2E9D">
              <w:rPr>
                <w:rFonts w:cs="Calibri"/>
                <w:bCs w:val="0"/>
              </w:rPr>
              <w:t>Δημοσίευση</w:t>
            </w:r>
            <w:r w:rsidRPr="003C2E9D">
              <w:rPr>
                <w:rFonts w:cs="Calibri"/>
                <w:bCs w:val="0"/>
                <w:lang w:val="en-GB"/>
              </w:rPr>
              <w:t xml:space="preserve"> / </w:t>
            </w:r>
            <w:r w:rsidRPr="003C2E9D">
              <w:rPr>
                <w:rFonts w:cs="Calibri"/>
                <w:bCs w:val="0"/>
              </w:rPr>
              <w:t>Γεγονός</w:t>
            </w:r>
          </w:p>
        </w:tc>
        <w:tc>
          <w:tcPr>
            <w:tcW w:w="1389" w:type="pct"/>
            <w:shd w:val="clear" w:color="auto" w:fill="385623" w:themeFill="accent6" w:themeFillShade="80"/>
            <w:noWrap/>
          </w:tcPr>
          <w:p w14:paraId="42143504" w14:textId="1C61996C" w:rsidR="00935E6D" w:rsidRPr="00BE5E19" w:rsidRDefault="00935E6D" w:rsidP="00935E6D">
            <w:pPr>
              <w:spacing w:after="120" w:line="240" w:lineRule="auto"/>
              <w:jc w:val="right"/>
              <w:cnfStyle w:val="100000000000" w:firstRow="1" w:lastRow="0" w:firstColumn="0" w:lastColumn="0" w:oddVBand="0" w:evenVBand="0" w:oddHBand="0" w:evenHBand="0" w:firstRowFirstColumn="0" w:firstRowLastColumn="0" w:lastRowFirstColumn="0" w:lastRowLastColumn="0"/>
              <w:rPr>
                <w:rFonts w:ascii="Aptos" w:hAnsi="Aptos" w:cs="Calibri"/>
                <w:bCs w:val="0"/>
                <w:lang w:val="en-GB"/>
              </w:rPr>
            </w:pPr>
            <w:r w:rsidRPr="003C2E9D">
              <w:rPr>
                <w:rFonts w:cs="Calibri"/>
                <w:bCs w:val="0"/>
              </w:rPr>
              <w:t>Ημερομηνία</w:t>
            </w:r>
          </w:p>
        </w:tc>
      </w:tr>
      <w:tr w:rsidR="00935E6D" w:rsidRPr="00BE5E19" w14:paraId="5A9AD127" w14:textId="77777777" w:rsidTr="0080233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2D316FBC" w14:textId="638F4B9B" w:rsidR="00935E6D" w:rsidRPr="00935E6D" w:rsidRDefault="00935E6D" w:rsidP="00935E6D">
            <w:pPr>
              <w:autoSpaceDE w:val="0"/>
              <w:autoSpaceDN w:val="0"/>
              <w:adjustRightInd w:val="0"/>
              <w:spacing w:after="120" w:line="240" w:lineRule="auto"/>
              <w:rPr>
                <w:rFonts w:ascii="Aptos" w:hAnsi="Aptos"/>
                <w:b w:val="0"/>
                <w:bCs w:val="0"/>
              </w:rPr>
            </w:pPr>
            <w:r w:rsidRPr="00E05FEE">
              <w:rPr>
                <w:b w:val="0"/>
                <w:bCs w:val="0"/>
              </w:rPr>
              <w:t>Ενημέρωση αναλυτών για Αποτελέσματα Χρήσης 1ου εξαμήνου 2026</w:t>
            </w:r>
          </w:p>
        </w:tc>
        <w:tc>
          <w:tcPr>
            <w:tcW w:w="1389" w:type="pct"/>
            <w:noWrap/>
            <w:vAlign w:val="center"/>
          </w:tcPr>
          <w:p w14:paraId="5C985251" w14:textId="3F84D93B" w:rsidR="00935E6D" w:rsidRPr="00BE5E19" w:rsidRDefault="00935E6D" w:rsidP="00935E6D">
            <w:pPr>
              <w:autoSpaceDE w:val="0"/>
              <w:autoSpaceDN w:val="0"/>
              <w:adjustRightInd w:val="0"/>
              <w:spacing w:after="120" w:line="240" w:lineRule="auto"/>
              <w:jc w:val="right"/>
              <w:cnfStyle w:val="000000100000" w:firstRow="0" w:lastRow="0" w:firstColumn="0" w:lastColumn="0" w:oddVBand="0" w:evenVBand="0" w:oddHBand="1" w:evenHBand="0" w:firstRowFirstColumn="0" w:firstRowLastColumn="0" w:lastRowFirstColumn="0" w:lastRowLastColumn="0"/>
              <w:rPr>
                <w:rFonts w:ascii="Aptos" w:hAnsi="Aptos"/>
                <w:lang w:val="en-GB"/>
              </w:rPr>
            </w:pPr>
            <w:r w:rsidRPr="00E05FEE">
              <w:rPr>
                <w:rFonts w:cs="Calibri"/>
              </w:rPr>
              <w:t>5</w:t>
            </w:r>
            <w:r w:rsidRPr="00E05FEE">
              <w:rPr>
                <w:rFonts w:cs="Calibri"/>
                <w:lang w:val="en-GB"/>
              </w:rPr>
              <w:t xml:space="preserve"> </w:t>
            </w:r>
            <w:r w:rsidRPr="00E05FEE">
              <w:rPr>
                <w:rFonts w:cs="Calibri"/>
              </w:rPr>
              <w:t>Αυγούστου</w:t>
            </w:r>
            <w:r w:rsidRPr="00E05FEE">
              <w:rPr>
                <w:rFonts w:cs="Calibri"/>
                <w:lang w:val="en-GB"/>
              </w:rPr>
              <w:t xml:space="preserve"> 202</w:t>
            </w:r>
            <w:r w:rsidRPr="00E05FEE">
              <w:rPr>
                <w:rFonts w:cs="Calibri"/>
              </w:rPr>
              <w:t>6</w:t>
            </w:r>
          </w:p>
        </w:tc>
      </w:tr>
      <w:tr w:rsidR="00935E6D" w:rsidRPr="00BE5E19" w14:paraId="27459AB2" w14:textId="77777777" w:rsidTr="0080233F">
        <w:trPr>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0056BC4F" w14:textId="045D61A2" w:rsidR="00935E6D" w:rsidRPr="00935E6D" w:rsidRDefault="00935E6D" w:rsidP="00935E6D">
            <w:pPr>
              <w:autoSpaceDE w:val="0"/>
              <w:autoSpaceDN w:val="0"/>
              <w:adjustRightInd w:val="0"/>
              <w:spacing w:after="120" w:line="240" w:lineRule="auto"/>
              <w:rPr>
                <w:rFonts w:ascii="Aptos" w:hAnsi="Aptos"/>
              </w:rPr>
            </w:pPr>
            <w:r w:rsidRPr="00E3745D">
              <w:rPr>
                <w:b w:val="0"/>
                <w:bCs w:val="0"/>
              </w:rPr>
              <w:t>Ενδιάμεση οικονομική έκθεση για το εξάμηνο που έληξε στις 30 Ιουνίου 2026</w:t>
            </w:r>
          </w:p>
        </w:tc>
        <w:tc>
          <w:tcPr>
            <w:tcW w:w="1389" w:type="pct"/>
            <w:noWrap/>
          </w:tcPr>
          <w:p w14:paraId="1A82CED6" w14:textId="301F93DF" w:rsidR="00935E6D" w:rsidRPr="00BE5E19" w:rsidRDefault="00935E6D" w:rsidP="00935E6D">
            <w:pPr>
              <w:autoSpaceDE w:val="0"/>
              <w:autoSpaceDN w:val="0"/>
              <w:adjustRightInd w:val="0"/>
              <w:spacing w:after="120" w:line="240" w:lineRule="auto"/>
              <w:jc w:val="right"/>
              <w:cnfStyle w:val="000000000000" w:firstRow="0" w:lastRow="0" w:firstColumn="0" w:lastColumn="0" w:oddVBand="0" w:evenVBand="0" w:oddHBand="0" w:evenHBand="0" w:firstRowFirstColumn="0" w:firstRowLastColumn="0" w:lastRowFirstColumn="0" w:lastRowLastColumn="0"/>
              <w:rPr>
                <w:rFonts w:ascii="Aptos" w:hAnsi="Aptos"/>
                <w:lang w:val="en-GB"/>
              </w:rPr>
            </w:pPr>
            <w:r w:rsidRPr="00E6351E">
              <w:t>16 Σεπτεμβρίου 2026</w:t>
            </w:r>
          </w:p>
        </w:tc>
      </w:tr>
      <w:tr w:rsidR="00935E6D" w:rsidRPr="00BE5E19" w14:paraId="0D1D5AC8" w14:textId="77777777" w:rsidTr="0080233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344C744A" w14:textId="1D828616" w:rsidR="00935E6D" w:rsidRPr="00BE5E19" w:rsidRDefault="00935E6D" w:rsidP="00935E6D">
            <w:pPr>
              <w:autoSpaceDE w:val="0"/>
              <w:autoSpaceDN w:val="0"/>
              <w:adjustRightInd w:val="0"/>
              <w:spacing w:after="120" w:line="240" w:lineRule="auto"/>
              <w:rPr>
                <w:rFonts w:ascii="Aptos" w:hAnsi="Aptos"/>
                <w:b w:val="0"/>
                <w:bCs w:val="0"/>
                <w:lang w:val="en-GB"/>
              </w:rPr>
            </w:pPr>
            <w:r w:rsidRPr="00E3745D">
              <w:rPr>
                <w:b w:val="0"/>
                <w:bCs w:val="0"/>
              </w:rPr>
              <w:t>Αποτελέσματα 3ου τριμήνου 2026</w:t>
            </w:r>
          </w:p>
        </w:tc>
        <w:tc>
          <w:tcPr>
            <w:tcW w:w="1389" w:type="pct"/>
            <w:noWrap/>
          </w:tcPr>
          <w:p w14:paraId="74160DD3" w14:textId="54EC26D7" w:rsidR="00935E6D" w:rsidRPr="00BE5E19" w:rsidRDefault="00935E6D" w:rsidP="00935E6D">
            <w:pPr>
              <w:autoSpaceDE w:val="0"/>
              <w:autoSpaceDN w:val="0"/>
              <w:adjustRightInd w:val="0"/>
              <w:spacing w:after="120" w:line="240" w:lineRule="auto"/>
              <w:jc w:val="right"/>
              <w:cnfStyle w:val="000000100000" w:firstRow="0" w:lastRow="0" w:firstColumn="0" w:lastColumn="0" w:oddVBand="0" w:evenVBand="0" w:oddHBand="1" w:evenHBand="0" w:firstRowFirstColumn="0" w:firstRowLastColumn="0" w:lastRowFirstColumn="0" w:lastRowLastColumn="0"/>
              <w:rPr>
                <w:rFonts w:ascii="Aptos" w:hAnsi="Aptos"/>
                <w:lang w:val="en-GB"/>
              </w:rPr>
            </w:pPr>
            <w:r w:rsidRPr="00E6351E">
              <w:t>19 Νοεμβρίου 2026</w:t>
            </w:r>
          </w:p>
        </w:tc>
      </w:tr>
      <w:tr w:rsidR="00935E6D" w:rsidRPr="00BE5E19" w14:paraId="0F111692" w14:textId="77777777" w:rsidTr="0080233F">
        <w:trPr>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3A305956" w14:textId="09E48038" w:rsidR="00935E6D" w:rsidRPr="00935E6D" w:rsidRDefault="00935E6D" w:rsidP="00935E6D">
            <w:pPr>
              <w:autoSpaceDE w:val="0"/>
              <w:autoSpaceDN w:val="0"/>
              <w:adjustRightInd w:val="0"/>
              <w:spacing w:after="120" w:line="240" w:lineRule="auto"/>
              <w:rPr>
                <w:rFonts w:ascii="Aptos" w:hAnsi="Aptos"/>
                <w:b w:val="0"/>
                <w:bCs w:val="0"/>
              </w:rPr>
            </w:pPr>
            <w:r w:rsidRPr="00E3745D">
              <w:rPr>
                <w:b w:val="0"/>
                <w:bCs w:val="0"/>
              </w:rPr>
              <w:t>Ενημέρωση αναλυτών για Αποτελέσματα Χρήσης 3ου τριμήνου 2026</w:t>
            </w:r>
          </w:p>
        </w:tc>
        <w:tc>
          <w:tcPr>
            <w:tcW w:w="1389" w:type="pct"/>
            <w:noWrap/>
          </w:tcPr>
          <w:p w14:paraId="6BE0184C" w14:textId="0C08465C" w:rsidR="00935E6D" w:rsidRPr="00BE5E19" w:rsidRDefault="00935E6D" w:rsidP="00935E6D">
            <w:pPr>
              <w:autoSpaceDE w:val="0"/>
              <w:autoSpaceDN w:val="0"/>
              <w:adjustRightInd w:val="0"/>
              <w:spacing w:after="120" w:line="240" w:lineRule="auto"/>
              <w:jc w:val="right"/>
              <w:cnfStyle w:val="000000000000" w:firstRow="0" w:lastRow="0" w:firstColumn="0" w:lastColumn="0" w:oddVBand="0" w:evenVBand="0" w:oddHBand="0" w:evenHBand="0" w:firstRowFirstColumn="0" w:firstRowLastColumn="0" w:lastRowFirstColumn="0" w:lastRowLastColumn="0"/>
              <w:rPr>
                <w:rFonts w:ascii="Aptos" w:hAnsi="Aptos"/>
                <w:lang w:val="en-GB"/>
              </w:rPr>
            </w:pPr>
            <w:r w:rsidRPr="00E6351E">
              <w:t>20 Νοεμβρίου 2026</w:t>
            </w:r>
          </w:p>
        </w:tc>
      </w:tr>
      <w:tr w:rsidR="00935E6D" w:rsidRPr="00BE5E19" w14:paraId="3315C25C" w14:textId="77777777" w:rsidTr="0080233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1D9B955D" w14:textId="2CC61FBF" w:rsidR="00935E6D" w:rsidRPr="00935E6D" w:rsidRDefault="00935E6D" w:rsidP="00935E6D">
            <w:pPr>
              <w:autoSpaceDE w:val="0"/>
              <w:autoSpaceDN w:val="0"/>
              <w:adjustRightInd w:val="0"/>
              <w:spacing w:after="120" w:line="240" w:lineRule="auto"/>
              <w:rPr>
                <w:rFonts w:ascii="Aptos" w:hAnsi="Aptos"/>
              </w:rPr>
            </w:pPr>
            <w:r w:rsidRPr="00E3745D">
              <w:rPr>
                <w:b w:val="0"/>
                <w:bCs w:val="0"/>
              </w:rPr>
              <w:t>Ετήσια Αποτελέσματα Χρήσης 2026 – Δελτίο Τύπου</w:t>
            </w:r>
          </w:p>
        </w:tc>
        <w:tc>
          <w:tcPr>
            <w:tcW w:w="1389" w:type="pct"/>
            <w:noWrap/>
          </w:tcPr>
          <w:p w14:paraId="74BDDEB5" w14:textId="2C9B152F" w:rsidR="00935E6D" w:rsidRPr="00BE5E19" w:rsidRDefault="00935E6D" w:rsidP="00935E6D">
            <w:pPr>
              <w:autoSpaceDE w:val="0"/>
              <w:autoSpaceDN w:val="0"/>
              <w:adjustRightInd w:val="0"/>
              <w:spacing w:after="120" w:line="240" w:lineRule="auto"/>
              <w:jc w:val="right"/>
              <w:cnfStyle w:val="000000100000" w:firstRow="0" w:lastRow="0" w:firstColumn="0" w:lastColumn="0" w:oddVBand="0" w:evenVBand="0" w:oddHBand="1" w:evenHBand="0" w:firstRowFirstColumn="0" w:firstRowLastColumn="0" w:lastRowFirstColumn="0" w:lastRowLastColumn="0"/>
              <w:rPr>
                <w:rFonts w:ascii="Aptos" w:hAnsi="Aptos"/>
              </w:rPr>
            </w:pPr>
            <w:r w:rsidRPr="00E6351E">
              <w:t>3 Μαρτίου 2027</w:t>
            </w:r>
          </w:p>
        </w:tc>
      </w:tr>
      <w:tr w:rsidR="00935E6D" w:rsidRPr="00BE5E19" w14:paraId="4D27E18B" w14:textId="77777777" w:rsidTr="0080233F">
        <w:trPr>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64CE1FF5" w14:textId="0F814D7E" w:rsidR="00935E6D" w:rsidRPr="00935E6D" w:rsidRDefault="00935E6D" w:rsidP="00935E6D">
            <w:pPr>
              <w:autoSpaceDE w:val="0"/>
              <w:autoSpaceDN w:val="0"/>
              <w:adjustRightInd w:val="0"/>
              <w:spacing w:after="120" w:line="240" w:lineRule="auto"/>
              <w:rPr>
                <w:rFonts w:ascii="Aptos" w:hAnsi="Aptos" w:cs="Calibri"/>
                <w:b w:val="0"/>
                <w:bCs w:val="0"/>
                <w:iCs/>
                <w:color w:val="000000"/>
              </w:rPr>
            </w:pPr>
            <w:r w:rsidRPr="00E3745D">
              <w:rPr>
                <w:b w:val="0"/>
                <w:bCs w:val="0"/>
              </w:rPr>
              <w:t>Ενημέρωση αναλυτών για Αποτελέσματα Χρήσης 2026</w:t>
            </w:r>
          </w:p>
        </w:tc>
        <w:tc>
          <w:tcPr>
            <w:tcW w:w="1389" w:type="pct"/>
            <w:noWrap/>
          </w:tcPr>
          <w:p w14:paraId="52ACE05B" w14:textId="3B149E89" w:rsidR="00935E6D" w:rsidRPr="00BE5E19" w:rsidRDefault="00935E6D" w:rsidP="00935E6D">
            <w:pPr>
              <w:autoSpaceDE w:val="0"/>
              <w:autoSpaceDN w:val="0"/>
              <w:adjustRightInd w:val="0"/>
              <w:spacing w:after="120" w:line="240" w:lineRule="auto"/>
              <w:jc w:val="right"/>
              <w:cnfStyle w:val="000000000000" w:firstRow="0" w:lastRow="0" w:firstColumn="0" w:lastColumn="0" w:oddVBand="0" w:evenVBand="0" w:oddHBand="0" w:evenHBand="0" w:firstRowFirstColumn="0" w:firstRowLastColumn="0" w:lastRowFirstColumn="0" w:lastRowLastColumn="0"/>
              <w:rPr>
                <w:rFonts w:ascii="Aptos" w:hAnsi="Aptos" w:cs="Calibri"/>
                <w:bCs/>
              </w:rPr>
            </w:pPr>
            <w:r w:rsidRPr="00E6351E">
              <w:t>4 Μαρτίου 2027</w:t>
            </w:r>
          </w:p>
        </w:tc>
      </w:tr>
      <w:tr w:rsidR="0080233F" w:rsidRPr="00BE5E19" w14:paraId="4D37F219" w14:textId="77777777" w:rsidTr="0080233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611" w:type="pct"/>
            <w:noWrap/>
          </w:tcPr>
          <w:p w14:paraId="00408782" w14:textId="2A7A8CF3" w:rsidR="0080233F" w:rsidRPr="0080233F" w:rsidRDefault="0080233F" w:rsidP="00935E6D">
            <w:pPr>
              <w:autoSpaceDE w:val="0"/>
              <w:autoSpaceDN w:val="0"/>
              <w:adjustRightInd w:val="0"/>
              <w:spacing w:after="120" w:line="240" w:lineRule="auto"/>
            </w:pPr>
            <w:r w:rsidRPr="0080233F">
              <w:rPr>
                <w:b w:val="0"/>
                <w:bCs w:val="0"/>
              </w:rPr>
              <w:t>Τακτική Γενική Συνέλευση</w:t>
            </w:r>
            <w:r>
              <w:rPr>
                <w:b w:val="0"/>
                <w:bCs w:val="0"/>
              </w:rPr>
              <w:t xml:space="preserve"> 2027</w:t>
            </w:r>
          </w:p>
        </w:tc>
        <w:tc>
          <w:tcPr>
            <w:tcW w:w="1389" w:type="pct"/>
            <w:noWrap/>
          </w:tcPr>
          <w:p w14:paraId="469B41CB" w14:textId="43E1B222" w:rsidR="0080233F" w:rsidRPr="00E6351E" w:rsidRDefault="0080233F" w:rsidP="00935E6D">
            <w:pPr>
              <w:autoSpaceDE w:val="0"/>
              <w:autoSpaceDN w:val="0"/>
              <w:adjustRightInd w:val="0"/>
              <w:spacing w:after="120" w:line="240" w:lineRule="auto"/>
              <w:jc w:val="right"/>
              <w:cnfStyle w:val="000000100000" w:firstRow="0" w:lastRow="0" w:firstColumn="0" w:lastColumn="0" w:oddVBand="0" w:evenVBand="0" w:oddHBand="1" w:evenHBand="0" w:firstRowFirstColumn="0" w:firstRowLastColumn="0" w:lastRowFirstColumn="0" w:lastRowLastColumn="0"/>
            </w:pPr>
            <w:r>
              <w:t>25 Μαΐου 2027</w:t>
            </w:r>
          </w:p>
        </w:tc>
      </w:tr>
      <w:bookmarkEnd w:id="9"/>
    </w:tbl>
    <w:p w14:paraId="36576A37" w14:textId="77777777" w:rsidR="002D1915" w:rsidRPr="00BE5E19" w:rsidRDefault="002D1915" w:rsidP="006B321F">
      <w:pPr>
        <w:spacing w:after="120" w:line="240" w:lineRule="auto"/>
        <w:jc w:val="both"/>
        <w:rPr>
          <w:rFonts w:ascii="Aptos" w:hAnsi="Aptos"/>
          <w:szCs w:val="20"/>
          <w:lang w:val="en-GB"/>
        </w:rPr>
      </w:pPr>
    </w:p>
    <w:p w14:paraId="6697D354" w14:textId="77777777" w:rsidR="00935E6D" w:rsidRPr="009F7039" w:rsidRDefault="00935E6D" w:rsidP="00935E6D">
      <w:pPr>
        <w:spacing w:after="120" w:line="240" w:lineRule="auto"/>
        <w:jc w:val="both"/>
        <w:rPr>
          <w:i/>
          <w:iCs/>
          <w:sz w:val="20"/>
          <w:szCs w:val="20"/>
        </w:rPr>
      </w:pPr>
      <w:r w:rsidRPr="009F7039">
        <w:rPr>
          <w:sz w:val="20"/>
          <w:szCs w:val="20"/>
        </w:rPr>
        <w:t xml:space="preserve">ΔΗΛΩΣΗ ΑΠΟΠΟΙΗΣΗΣ ΕΥΘΥΝΗΣ: Τυχόν δηλώσεις για μελλοντικές εκτιμήσεις που ενδεχομένως συμπεριλαμβάνονται στο παρόν δελτίο τύπου αφορούν ή βασίζονται στις τρέχουσες προσδοκίες, στον σχεδιασμό και στην αντίληψη της διοίκησης της εταιρείας μας σχετικά, μεταξύ άλλων, με τα μελλοντικά αποτελέσματα των δραστηριοτήτων της </w:t>
      </w:r>
      <w:r w:rsidRPr="009F7039">
        <w:rPr>
          <w:sz w:val="20"/>
          <w:szCs w:val="20"/>
          <w:lang w:val="en-GB"/>
        </w:rPr>
        <w:t>Cenergy</w:t>
      </w:r>
      <w:r w:rsidRPr="009F7039">
        <w:rPr>
          <w:sz w:val="20"/>
          <w:szCs w:val="20"/>
        </w:rPr>
        <w:t xml:space="preserve"> </w:t>
      </w:r>
      <w:r w:rsidRPr="009F7039">
        <w:rPr>
          <w:sz w:val="20"/>
          <w:szCs w:val="20"/>
          <w:lang w:val="en-GB"/>
        </w:rPr>
        <w:t>Holdings</w:t>
      </w:r>
      <w:r w:rsidRPr="009F7039">
        <w:rPr>
          <w:sz w:val="20"/>
          <w:szCs w:val="20"/>
        </w:rPr>
        <w:t>, την οικονομική θέση, την ρευστότητα, τις προοπτικές, την ανάπτυξη, την στρατηγική ή τις εξελίξεις σχετικά με τις αγορές στις οποίες δραστηριοποιούνται οι θυγατρικές της. Τέτοιες δηλώσεις για μελλοντικές εκτιμήσεις θα πρέπει να αντιμετωπίζονται ως απεικόνιση των πληροφοριών, των στοιχείων και των αντιλήψεων κατά την ημερομηνία δημοσίευσης του παρόντος δελτίου τύπου. Ως εκ τούτου, σας προτρέπουμε να μην βασίζεστε υπέρ του δέοντος σε αυτές, δεδομένου ότι εκ φύσεως, οι δηλώσεις για μελλοντικές εκτιμήσεις υπόκεινται σε κινδύνους, αβεβαιότητες και υποθέσεις που θα μπορούσαν ουσιωδώς να μεταβάλλουν τα πραγματικά αποτελέσματα ή τα μελλοντικά γεγονότα σε σύγκριση με όσα διατυπώνονται ή υπονοούνται με αυτές. Το αποτέλεσμα και οι χρηματοοικονομικές επιπτώσεις από τις αντιλήψεις, τις προθέσεις και τα γεγονότα που περιγράφονται στο παρόν μπορεί να επηρεαστούν αρνητικά από αυτούς τους κινδύνους, τις αβεβαιότητες και τις υποθέσεις. Οι δηλώσεις για μελλοντικές εκτιμήσεις που περιέχονται στο παρόν δελτίο τύπου και σχετίζονται με τάσεις ή τρέχουσες δραστηριότητες, δεν θα πρέπει να θεωρούνται ως έκθεση της μελλοντικής θέσης των τάσεων και των δραστηριοτήτων αυτών. Ουδεμία υποχρέωση αναλαμβάνουμε για να ενημερώσουμε ή να αναθεωρήσουμε τυχόν δηλώσεις για μελλοντικές εκτιμήσεις, είτε ως αποτέλεσμα νέων πληροφοριών είτε ως αποτέλεσμα εξελίξεων, μελλοντικών γεγονότων ή άλλων. Οι πληροφορίες που περιλαμβάνονται στο παρόν δελτίο τύπου μπορεί να μεταβληθούν χωρίς ειδοποίηση. Ο αναγνώστης δεν θα πρέπει να βασίσει παράγωγη αναφορά στη βάση των πληροφοριών που περιέχονται στο παρόν, οι οποίες δεν καλύπτονται από έμμεση ή ευθεία εγγύηση σχετικά με το δίκαιο, ακριβές, εύλογο και πλήρες αυτών. Το παρόν δελτίο τύπου συντάχθηκε στην αγγλική γλώσσα και έχει μεταφραστεί στην γαλλική και την ελληνική γλώσσα.  Σε περίπτωση αποκλίσεων μεταξύ των εκδόσεων, επικρατούσα θεωρείται η αγγλική έκδοση</w:t>
      </w:r>
      <w:r w:rsidRPr="009F7039">
        <w:rPr>
          <w:i/>
          <w:iCs/>
          <w:sz w:val="20"/>
          <w:szCs w:val="20"/>
        </w:rPr>
        <w:t>.</w:t>
      </w:r>
    </w:p>
    <w:p w14:paraId="495D4BE0" w14:textId="77777777" w:rsidR="00935E6D" w:rsidRPr="00504317" w:rsidRDefault="00935E6D" w:rsidP="00935E6D">
      <w:pPr>
        <w:keepNext/>
        <w:keepLines/>
        <w:spacing w:after="120" w:line="240" w:lineRule="auto"/>
        <w:jc w:val="both"/>
        <w:outlineLvl w:val="1"/>
        <w:rPr>
          <w:rFonts w:eastAsia="SimSun" w:cs="Calibri"/>
          <w:b/>
          <w:bCs/>
          <w:color w:val="4F6228"/>
          <w:sz w:val="24"/>
          <w:szCs w:val="24"/>
        </w:rPr>
      </w:pPr>
      <w:r w:rsidRPr="00504317">
        <w:rPr>
          <w:rFonts w:eastAsia="SimSun" w:cs="Calibri"/>
          <w:b/>
          <w:bCs/>
          <w:color w:val="4F6228"/>
          <w:sz w:val="24"/>
          <w:szCs w:val="24"/>
        </w:rPr>
        <w:lastRenderedPageBreak/>
        <w:t xml:space="preserve">Σχετικά με τη </w:t>
      </w:r>
      <w:r w:rsidRPr="009F7039">
        <w:rPr>
          <w:rFonts w:eastAsia="SimSun" w:cs="Calibri"/>
          <w:b/>
          <w:bCs/>
          <w:color w:val="4F6228"/>
          <w:sz w:val="24"/>
          <w:szCs w:val="24"/>
          <w:lang w:val="en-GB"/>
        </w:rPr>
        <w:t>Cenergy</w:t>
      </w:r>
      <w:r w:rsidRPr="00504317">
        <w:rPr>
          <w:rFonts w:eastAsia="SimSun" w:cs="Calibri"/>
          <w:b/>
          <w:bCs/>
          <w:color w:val="4F6228"/>
          <w:sz w:val="24"/>
          <w:szCs w:val="24"/>
        </w:rPr>
        <w:t xml:space="preserve"> </w:t>
      </w:r>
      <w:r w:rsidRPr="009F7039">
        <w:rPr>
          <w:rFonts w:eastAsia="SimSun" w:cs="Calibri"/>
          <w:b/>
          <w:bCs/>
          <w:color w:val="4F6228"/>
          <w:sz w:val="24"/>
          <w:szCs w:val="24"/>
          <w:lang w:val="en-GB"/>
        </w:rPr>
        <w:t>Holdings</w:t>
      </w:r>
    </w:p>
    <w:p w14:paraId="1B34A5A6" w14:textId="77777777" w:rsidR="00935E6D" w:rsidRPr="009F7039" w:rsidRDefault="00935E6D" w:rsidP="00935E6D">
      <w:pPr>
        <w:keepNext/>
        <w:keepLines/>
        <w:spacing w:after="120" w:line="240" w:lineRule="auto"/>
        <w:jc w:val="both"/>
        <w:outlineLvl w:val="1"/>
        <w:rPr>
          <w:i/>
          <w:iCs/>
          <w:sz w:val="20"/>
          <w:szCs w:val="20"/>
        </w:rPr>
      </w:pPr>
      <w:r w:rsidRPr="00375CC0">
        <w:rPr>
          <w:i/>
          <w:iCs/>
          <w:sz w:val="20"/>
          <w:szCs w:val="20"/>
        </w:rPr>
        <w:t>Η Cenergy Holdings είναι μια Β</w:t>
      </w:r>
      <w:r>
        <w:rPr>
          <w:i/>
          <w:iCs/>
          <w:sz w:val="20"/>
          <w:szCs w:val="20"/>
        </w:rPr>
        <w:t>ελγική</w:t>
      </w:r>
      <w:r w:rsidRPr="00375CC0">
        <w:rPr>
          <w:i/>
          <w:iCs/>
          <w:sz w:val="20"/>
          <w:szCs w:val="20"/>
        </w:rPr>
        <w:t xml:space="preserve"> εταιρεία συμμετοχών εισηγμένη </w:t>
      </w:r>
      <w:r>
        <w:rPr>
          <w:i/>
          <w:iCs/>
          <w:sz w:val="20"/>
          <w:szCs w:val="20"/>
        </w:rPr>
        <w:t>στα χρηματιστήρια</w:t>
      </w:r>
      <w:r w:rsidRPr="00375CC0">
        <w:rPr>
          <w:i/>
          <w:iCs/>
          <w:sz w:val="20"/>
          <w:szCs w:val="20"/>
        </w:rPr>
        <w:t xml:space="preserve"> </w:t>
      </w:r>
      <w:r>
        <w:rPr>
          <w:i/>
          <w:iCs/>
          <w:sz w:val="20"/>
          <w:szCs w:val="20"/>
          <w:lang w:val="en-US"/>
        </w:rPr>
        <w:t>Euronext</w:t>
      </w:r>
      <w:r w:rsidRPr="007B5CBA">
        <w:rPr>
          <w:i/>
          <w:iCs/>
          <w:sz w:val="20"/>
          <w:szCs w:val="20"/>
        </w:rPr>
        <w:t xml:space="preserve"> </w:t>
      </w:r>
      <w:r>
        <w:rPr>
          <w:i/>
          <w:iCs/>
          <w:sz w:val="20"/>
          <w:szCs w:val="20"/>
          <w:lang w:val="en-US"/>
        </w:rPr>
        <w:t>Brussels</w:t>
      </w:r>
      <w:r w:rsidRPr="00375CC0">
        <w:rPr>
          <w:i/>
          <w:iCs/>
          <w:sz w:val="20"/>
          <w:szCs w:val="20"/>
        </w:rPr>
        <w:t xml:space="preserve"> και </w:t>
      </w:r>
      <w:r>
        <w:rPr>
          <w:i/>
          <w:iCs/>
          <w:sz w:val="20"/>
          <w:szCs w:val="20"/>
          <w:lang w:val="en-US"/>
        </w:rPr>
        <w:t>Euronext</w:t>
      </w:r>
      <w:r w:rsidRPr="007B5CBA">
        <w:rPr>
          <w:i/>
          <w:iCs/>
          <w:sz w:val="20"/>
          <w:szCs w:val="20"/>
        </w:rPr>
        <w:t xml:space="preserve"> </w:t>
      </w:r>
      <w:r>
        <w:rPr>
          <w:i/>
          <w:iCs/>
          <w:sz w:val="20"/>
          <w:szCs w:val="20"/>
          <w:lang w:val="en-US"/>
        </w:rPr>
        <w:t>Athens</w:t>
      </w:r>
      <w:r w:rsidRPr="008A78F5">
        <w:rPr>
          <w:i/>
          <w:iCs/>
          <w:sz w:val="20"/>
          <w:szCs w:val="20"/>
        </w:rPr>
        <w:t xml:space="preserve">. </w:t>
      </w:r>
      <w:r>
        <w:rPr>
          <w:i/>
          <w:iCs/>
          <w:sz w:val="20"/>
          <w:szCs w:val="20"/>
        </w:rPr>
        <w:t xml:space="preserve">Επενδύει </w:t>
      </w:r>
      <w:r w:rsidRPr="00375CC0">
        <w:rPr>
          <w:i/>
          <w:iCs/>
          <w:sz w:val="20"/>
          <w:szCs w:val="20"/>
        </w:rPr>
        <w:t>σε κορυφαίες βιομηχανικές εταιρείες</w:t>
      </w:r>
      <w:r>
        <w:rPr>
          <w:i/>
          <w:iCs/>
          <w:sz w:val="20"/>
          <w:szCs w:val="20"/>
        </w:rPr>
        <w:t xml:space="preserve"> που εστιάζουν</w:t>
      </w:r>
      <w:r w:rsidRPr="00375CC0">
        <w:rPr>
          <w:i/>
          <w:iCs/>
          <w:sz w:val="20"/>
          <w:szCs w:val="20"/>
        </w:rPr>
        <w:t xml:space="preserve"> στην αυξανόμενη παγκόσμια ζήτηση μεταφοράς ενέργειας, ανανεώσιμων πηγών ενέργειας και μετάδοσης δεδομένων.  Το χαρτοφυλάκιο της Cenergy Holdings </w:t>
      </w:r>
      <w:r>
        <w:rPr>
          <w:i/>
          <w:iCs/>
          <w:sz w:val="20"/>
          <w:szCs w:val="20"/>
        </w:rPr>
        <w:t>περιλαμβάνει</w:t>
      </w:r>
      <w:r w:rsidRPr="00375CC0">
        <w:rPr>
          <w:i/>
          <w:iCs/>
          <w:sz w:val="20"/>
          <w:szCs w:val="20"/>
        </w:rPr>
        <w:t xml:space="preserve"> τη Σωληνουργεία Κορίνθου και τη Hellenic Cables, εταιρείες που βρίσκονται στην πρώτη γραμμή των αντίστοιχων </w:t>
      </w:r>
      <w:r>
        <w:rPr>
          <w:i/>
          <w:iCs/>
          <w:sz w:val="20"/>
          <w:szCs w:val="20"/>
        </w:rPr>
        <w:t>κλάδων</w:t>
      </w:r>
      <w:r w:rsidRPr="00375CC0">
        <w:rPr>
          <w:i/>
          <w:iCs/>
          <w:sz w:val="20"/>
          <w:szCs w:val="20"/>
        </w:rPr>
        <w:t xml:space="preserve"> ανάπτυξης. </w:t>
      </w:r>
      <w:r>
        <w:rPr>
          <w:i/>
          <w:iCs/>
          <w:sz w:val="20"/>
          <w:szCs w:val="20"/>
        </w:rPr>
        <w:t xml:space="preserve"> </w:t>
      </w:r>
      <w:r w:rsidRPr="00375CC0">
        <w:rPr>
          <w:i/>
          <w:iCs/>
          <w:sz w:val="20"/>
          <w:szCs w:val="20"/>
        </w:rPr>
        <w:t xml:space="preserve">Η Hellenic Cables είναι ένας από τους μεγαλύτερους παραγωγούς καλωδίων στην Ευρώπη, κατασκευάζοντας καλώδια ισχύος και τηλεπικοινωνιών καθώς και υποβρύχια καλώδια. </w:t>
      </w:r>
      <w:r>
        <w:rPr>
          <w:i/>
          <w:iCs/>
          <w:sz w:val="20"/>
          <w:szCs w:val="20"/>
        </w:rPr>
        <w:t xml:space="preserve"> </w:t>
      </w:r>
      <w:r w:rsidRPr="00375CC0">
        <w:rPr>
          <w:i/>
          <w:iCs/>
          <w:sz w:val="20"/>
          <w:szCs w:val="20"/>
        </w:rPr>
        <w:t xml:space="preserve">Η Σωληνουργεία Κορίνθου είναι παγκόσμιος ηγέτης στην κατασκευή σωλήνων χάλυβα για τον τομέα ενέργειας και σημαντικός παραγωγός </w:t>
      </w:r>
      <w:r>
        <w:rPr>
          <w:i/>
          <w:iCs/>
          <w:sz w:val="20"/>
          <w:szCs w:val="20"/>
        </w:rPr>
        <w:t>κοιλοδοκών</w:t>
      </w:r>
      <w:r w:rsidRPr="00375CC0">
        <w:rPr>
          <w:i/>
          <w:iCs/>
          <w:sz w:val="20"/>
          <w:szCs w:val="20"/>
        </w:rPr>
        <w:t xml:space="preserve"> χάλυβα για τον κατασκευαστικό τομέα.  Για περισσότερες πληροφορίες, παρακαλώ επισκεφθείτε την ιστοσελίδα μας </w:t>
      </w:r>
      <w:hyperlink r:id="rId19" w:history="1">
        <w:r w:rsidRPr="00375CC0">
          <w:rPr>
            <w:rStyle w:val="Hyperlink"/>
            <w:i/>
            <w:iCs/>
            <w:sz w:val="20"/>
            <w:szCs w:val="20"/>
          </w:rPr>
          <w:t>www.cenergyholdings.com</w:t>
        </w:r>
      </w:hyperlink>
      <w:r w:rsidRPr="009F7039">
        <w:rPr>
          <w:i/>
          <w:iCs/>
          <w:sz w:val="20"/>
          <w:szCs w:val="20"/>
        </w:rPr>
        <w:t>.</w:t>
      </w:r>
    </w:p>
    <w:p w14:paraId="4DC3908B" w14:textId="77777777" w:rsidR="00935E6D" w:rsidRPr="00183C82" w:rsidRDefault="00935E6D" w:rsidP="00935E6D">
      <w:pPr>
        <w:keepNext/>
        <w:keepLines/>
        <w:spacing w:after="120" w:line="240" w:lineRule="auto"/>
        <w:jc w:val="both"/>
        <w:outlineLvl w:val="1"/>
        <w:rPr>
          <w:rFonts w:eastAsia="SimSun" w:cs="Calibri"/>
          <w:b/>
          <w:bCs/>
          <w:color w:val="4F6228"/>
          <w:sz w:val="20"/>
          <w:szCs w:val="20"/>
        </w:rPr>
      </w:pPr>
      <w:r w:rsidRPr="00183C82">
        <w:rPr>
          <w:rFonts w:eastAsia="SimSun" w:cs="Calibri"/>
          <w:b/>
          <w:bCs/>
          <w:color w:val="4F6228"/>
          <w:sz w:val="20"/>
          <w:szCs w:val="20"/>
        </w:rPr>
        <w:t>Πληροφορίες</w:t>
      </w:r>
    </w:p>
    <w:p w14:paraId="628D0A06" w14:textId="77777777" w:rsidR="00935E6D" w:rsidRPr="00183C82" w:rsidRDefault="00935E6D" w:rsidP="00935E6D">
      <w:pPr>
        <w:spacing w:after="120" w:line="240" w:lineRule="auto"/>
        <w:jc w:val="both"/>
        <w:rPr>
          <w:sz w:val="20"/>
          <w:szCs w:val="20"/>
        </w:rPr>
      </w:pPr>
      <w:r w:rsidRPr="00183C82">
        <w:rPr>
          <w:sz w:val="20"/>
          <w:szCs w:val="20"/>
        </w:rPr>
        <w:t>Για περισσότερες πληροφορίες, μπορείτε να επικοινωνείτε:</w:t>
      </w:r>
    </w:p>
    <w:p w14:paraId="57C666BD" w14:textId="77777777" w:rsidR="00935E6D" w:rsidRPr="00183C82" w:rsidRDefault="00935E6D" w:rsidP="00935E6D">
      <w:pPr>
        <w:spacing w:after="0" w:line="240" w:lineRule="auto"/>
        <w:jc w:val="both"/>
        <w:rPr>
          <w:b/>
          <w:bCs/>
          <w:sz w:val="20"/>
          <w:szCs w:val="20"/>
        </w:rPr>
      </w:pPr>
      <w:r w:rsidRPr="00183C82">
        <w:rPr>
          <w:b/>
          <w:bCs/>
          <w:sz w:val="20"/>
          <w:szCs w:val="20"/>
        </w:rPr>
        <w:t>Σοφία Ζαΐρη</w:t>
      </w:r>
    </w:p>
    <w:p w14:paraId="71604357" w14:textId="77777777" w:rsidR="00935E6D" w:rsidRPr="00183C82" w:rsidRDefault="00935E6D" w:rsidP="00935E6D">
      <w:pPr>
        <w:spacing w:after="0" w:line="240" w:lineRule="auto"/>
        <w:jc w:val="both"/>
        <w:rPr>
          <w:rFonts w:cs="Calibri"/>
          <w:b/>
          <w:color w:val="000000"/>
          <w:sz w:val="20"/>
          <w:szCs w:val="20"/>
        </w:rPr>
      </w:pPr>
      <w:r w:rsidRPr="00183C82">
        <w:rPr>
          <w:rFonts w:cs="Calibri"/>
          <w:b/>
          <w:color w:val="000000"/>
          <w:sz w:val="20"/>
          <w:szCs w:val="20"/>
        </w:rPr>
        <w:t>Διευθύντρια Επενδυτικών Σχέσεων</w:t>
      </w:r>
    </w:p>
    <w:p w14:paraId="150442EA" w14:textId="77777777" w:rsidR="00935E6D" w:rsidRPr="00183C82" w:rsidRDefault="00935E6D" w:rsidP="00935E6D">
      <w:pPr>
        <w:spacing w:after="0" w:line="240" w:lineRule="auto"/>
        <w:jc w:val="both"/>
        <w:rPr>
          <w:rFonts w:cs="Calibri"/>
          <w:color w:val="000000"/>
          <w:sz w:val="20"/>
          <w:szCs w:val="20"/>
        </w:rPr>
      </w:pPr>
      <w:r w:rsidRPr="00183C82">
        <w:rPr>
          <w:rFonts w:cs="Calibri"/>
          <w:color w:val="000000"/>
          <w:sz w:val="20"/>
          <w:szCs w:val="20"/>
        </w:rPr>
        <w:t>Τηλ: +30 210 6787111, +30 210 6787773</w:t>
      </w:r>
    </w:p>
    <w:p w14:paraId="5F87CA78" w14:textId="77777777" w:rsidR="00935E6D" w:rsidRPr="00935E6D" w:rsidRDefault="00935E6D" w:rsidP="00935E6D">
      <w:pPr>
        <w:spacing w:after="0" w:line="240" w:lineRule="auto"/>
        <w:jc w:val="both"/>
        <w:rPr>
          <w:rFonts w:cs="Calibri"/>
          <w:color w:val="000000"/>
          <w:sz w:val="20"/>
          <w:szCs w:val="20"/>
        </w:rPr>
      </w:pPr>
      <w:r w:rsidRPr="00183C82">
        <w:rPr>
          <w:rFonts w:cs="Calibri"/>
          <w:color w:val="000000"/>
          <w:sz w:val="20"/>
          <w:szCs w:val="20"/>
          <w:lang w:val="en-GB"/>
        </w:rPr>
        <w:t>Email</w:t>
      </w:r>
      <w:r w:rsidRPr="00935E6D">
        <w:rPr>
          <w:rFonts w:cs="Calibri"/>
          <w:color w:val="000000"/>
          <w:sz w:val="20"/>
          <w:szCs w:val="20"/>
        </w:rPr>
        <w:t xml:space="preserve">: </w:t>
      </w:r>
      <w:hyperlink r:id="rId20" w:history="1">
        <w:r w:rsidRPr="00183C82">
          <w:rPr>
            <w:rStyle w:val="Hyperlink"/>
            <w:rFonts w:cs="Calibri"/>
            <w:sz w:val="20"/>
            <w:szCs w:val="20"/>
            <w:lang w:val="en-GB"/>
          </w:rPr>
          <w:t>ir</w:t>
        </w:r>
        <w:r w:rsidRPr="00935E6D">
          <w:rPr>
            <w:rStyle w:val="Hyperlink"/>
            <w:rFonts w:cs="Calibri"/>
            <w:sz w:val="20"/>
            <w:szCs w:val="20"/>
          </w:rPr>
          <w:t>@</w:t>
        </w:r>
        <w:r w:rsidRPr="00183C82">
          <w:rPr>
            <w:rStyle w:val="Hyperlink"/>
            <w:rFonts w:cs="Calibri"/>
            <w:sz w:val="20"/>
            <w:szCs w:val="20"/>
            <w:lang w:val="en-GB"/>
          </w:rPr>
          <w:t>cenergyholdings</w:t>
        </w:r>
        <w:r w:rsidRPr="00935E6D">
          <w:rPr>
            <w:rStyle w:val="Hyperlink"/>
            <w:rFonts w:cs="Calibri"/>
            <w:sz w:val="20"/>
            <w:szCs w:val="20"/>
          </w:rPr>
          <w:t>.</w:t>
        </w:r>
        <w:r w:rsidRPr="00183C82">
          <w:rPr>
            <w:rStyle w:val="Hyperlink"/>
            <w:rFonts w:cs="Calibri"/>
            <w:sz w:val="20"/>
            <w:szCs w:val="20"/>
            <w:lang w:val="en-GB"/>
          </w:rPr>
          <w:t>com</w:t>
        </w:r>
      </w:hyperlink>
    </w:p>
    <w:p w14:paraId="0D12064B" w14:textId="0235146D" w:rsidR="00131985" w:rsidRPr="00935E6D" w:rsidRDefault="00131985" w:rsidP="00131985">
      <w:pPr>
        <w:spacing w:after="0" w:line="240" w:lineRule="auto"/>
        <w:jc w:val="both"/>
        <w:rPr>
          <w:rFonts w:ascii="Aptos" w:hAnsi="Aptos" w:cs="Calibri"/>
          <w:color w:val="000000"/>
          <w:sz w:val="20"/>
          <w:szCs w:val="20"/>
        </w:rPr>
      </w:pPr>
    </w:p>
    <w:p w14:paraId="2A22F654" w14:textId="3D2415DB" w:rsidR="004C01D1" w:rsidRPr="00935E6D" w:rsidRDefault="00733D55" w:rsidP="000949DD">
      <w:pPr>
        <w:keepNext/>
        <w:keepLines/>
        <w:spacing w:after="120" w:line="240" w:lineRule="auto"/>
        <w:jc w:val="both"/>
        <w:outlineLvl w:val="1"/>
        <w:rPr>
          <w:rFonts w:ascii="Aptos" w:eastAsia="SimSun" w:hAnsi="Aptos" w:cs="Calibri"/>
          <w:b/>
          <w:bCs/>
          <w:color w:val="4F6228"/>
          <w:sz w:val="24"/>
          <w:szCs w:val="24"/>
        </w:rPr>
      </w:pPr>
      <w:r w:rsidRPr="00935E6D">
        <w:rPr>
          <w:rFonts w:ascii="Aptos" w:hAnsi="Aptos" w:cs="Calibri"/>
          <w:sz w:val="20"/>
          <w:szCs w:val="20"/>
        </w:rPr>
        <w:br w:type="page"/>
      </w:r>
      <w:r w:rsidR="00935E6D" w:rsidRPr="00935E6D">
        <w:rPr>
          <w:rFonts w:ascii="Aptos" w:eastAsia="SimSun" w:hAnsi="Aptos" w:cs="Calibri"/>
          <w:b/>
          <w:bCs/>
          <w:color w:val="4F6228"/>
          <w:sz w:val="24"/>
          <w:szCs w:val="24"/>
        </w:rPr>
        <w:lastRenderedPageBreak/>
        <w:t xml:space="preserve">Παράρτημα </w:t>
      </w:r>
      <w:r w:rsidR="00935E6D" w:rsidRPr="00935E6D">
        <w:rPr>
          <w:rFonts w:ascii="Aptos" w:eastAsia="SimSun" w:hAnsi="Aptos" w:cs="Calibri"/>
          <w:b/>
          <w:bCs/>
          <w:color w:val="4F6228"/>
          <w:sz w:val="24"/>
          <w:szCs w:val="24"/>
          <w:lang w:val="en-GB"/>
        </w:rPr>
        <w:t>A</w:t>
      </w:r>
      <w:r w:rsidR="00935E6D" w:rsidRPr="00935E6D">
        <w:rPr>
          <w:rFonts w:ascii="Aptos" w:eastAsia="SimSun" w:hAnsi="Aptos" w:cs="Calibri"/>
          <w:b/>
          <w:bCs/>
          <w:color w:val="4F6228"/>
          <w:sz w:val="24"/>
          <w:szCs w:val="24"/>
        </w:rPr>
        <w:t xml:space="preserve"> – Συνοπτική Ενοποιημένη Κατάσταση Αποτελεσμάτων</w:t>
      </w:r>
    </w:p>
    <w:tbl>
      <w:tblPr>
        <w:tblW w:w="10133" w:type="dxa"/>
        <w:tblLook w:val="04A0" w:firstRow="1" w:lastRow="0" w:firstColumn="1" w:lastColumn="0" w:noHBand="0" w:noVBand="1"/>
      </w:tblPr>
      <w:tblGrid>
        <w:gridCol w:w="6292"/>
        <w:gridCol w:w="1850"/>
        <w:gridCol w:w="266"/>
        <w:gridCol w:w="1725"/>
      </w:tblGrid>
      <w:tr w:rsidR="004C01D1" w:rsidRPr="00935E6D" w14:paraId="35891F9D" w14:textId="77777777" w:rsidTr="00BB65A0">
        <w:trPr>
          <w:trHeight w:val="300"/>
        </w:trPr>
        <w:tc>
          <w:tcPr>
            <w:tcW w:w="6292" w:type="dxa"/>
            <w:tcBorders>
              <w:top w:val="nil"/>
              <w:left w:val="nil"/>
              <w:bottom w:val="nil"/>
              <w:right w:val="nil"/>
            </w:tcBorders>
            <w:noWrap/>
            <w:vAlign w:val="bottom"/>
            <w:hideMark/>
          </w:tcPr>
          <w:p w14:paraId="1A50C331" w14:textId="77777777" w:rsidR="004C01D1" w:rsidRPr="00935E6D" w:rsidRDefault="004C01D1" w:rsidP="005E0EB8">
            <w:pPr>
              <w:spacing w:after="0" w:line="240" w:lineRule="auto"/>
              <w:jc w:val="both"/>
              <w:rPr>
                <w:rFonts w:ascii="Aptos" w:eastAsia="Times New Roman" w:hAnsi="Aptos"/>
                <w:color w:val="000000"/>
                <w:sz w:val="20"/>
                <w:szCs w:val="20"/>
                <w:lang w:eastAsia="el-GR"/>
              </w:rPr>
            </w:pPr>
          </w:p>
        </w:tc>
        <w:tc>
          <w:tcPr>
            <w:tcW w:w="3841" w:type="dxa"/>
            <w:gridSpan w:val="3"/>
            <w:tcBorders>
              <w:top w:val="nil"/>
              <w:left w:val="nil"/>
              <w:bottom w:val="nil"/>
              <w:right w:val="nil"/>
            </w:tcBorders>
            <w:shd w:val="clear" w:color="000000" w:fill="FFFFFF"/>
            <w:vAlign w:val="center"/>
            <w:hideMark/>
          </w:tcPr>
          <w:p w14:paraId="275CFE00" w14:textId="218601DA" w:rsidR="004C01D1" w:rsidRPr="00935E6D" w:rsidRDefault="00935E6D" w:rsidP="005E0EB8">
            <w:pPr>
              <w:spacing w:after="0" w:line="240" w:lineRule="auto"/>
              <w:jc w:val="right"/>
              <w:rPr>
                <w:rFonts w:ascii="Aptos" w:eastAsia="Times New Roman" w:hAnsi="Aptos"/>
                <w:b/>
                <w:bCs/>
                <w:color w:val="000000"/>
                <w:sz w:val="20"/>
                <w:szCs w:val="20"/>
                <w:u w:val="single"/>
                <w:lang w:eastAsia="el-GR"/>
              </w:rPr>
            </w:pPr>
            <w:r w:rsidRPr="00734618">
              <w:rPr>
                <w:b/>
                <w:color w:val="000000"/>
                <w:sz w:val="20"/>
                <w:szCs w:val="20"/>
                <w:u w:val="single"/>
              </w:rPr>
              <w:t>Για το εξάμηνο που έληξε την 30ή Ιουνίου</w:t>
            </w:r>
          </w:p>
        </w:tc>
      </w:tr>
      <w:tr w:rsidR="00527AD3" w:rsidRPr="00BE5E19" w14:paraId="029F8A55" w14:textId="77777777" w:rsidTr="00BB65A0">
        <w:trPr>
          <w:trHeight w:val="300"/>
        </w:trPr>
        <w:tc>
          <w:tcPr>
            <w:tcW w:w="6292" w:type="dxa"/>
            <w:tcBorders>
              <w:top w:val="nil"/>
              <w:left w:val="nil"/>
              <w:bottom w:val="nil"/>
              <w:right w:val="nil"/>
            </w:tcBorders>
            <w:shd w:val="clear" w:color="000000" w:fill="FFFFFF"/>
            <w:noWrap/>
            <w:vAlign w:val="center"/>
            <w:hideMark/>
          </w:tcPr>
          <w:p w14:paraId="688EAD2A" w14:textId="4DCD7347" w:rsidR="00527AD3" w:rsidRPr="00C76A39" w:rsidRDefault="00935E6D" w:rsidP="005E0EB8">
            <w:pPr>
              <w:spacing w:after="0" w:line="240" w:lineRule="auto"/>
              <w:jc w:val="both"/>
              <w:rPr>
                <w:rFonts w:ascii="Aptos" w:eastAsia="Times New Roman" w:hAnsi="Aptos"/>
                <w:i/>
                <w:iCs/>
                <w:color w:val="000000"/>
                <w:sz w:val="20"/>
                <w:szCs w:val="20"/>
                <w:lang w:val="en-GB" w:eastAsia="el-GR"/>
              </w:rPr>
            </w:pPr>
            <w:r w:rsidRPr="00734618">
              <w:rPr>
                <w:i/>
                <w:color w:val="000000"/>
                <w:sz w:val="20"/>
                <w:szCs w:val="20"/>
              </w:rPr>
              <w:t>Ποσά σε χιλιάδες ευρώ</w:t>
            </w:r>
          </w:p>
        </w:tc>
        <w:tc>
          <w:tcPr>
            <w:tcW w:w="1850" w:type="dxa"/>
            <w:tcBorders>
              <w:top w:val="nil"/>
              <w:left w:val="nil"/>
              <w:bottom w:val="nil"/>
              <w:right w:val="nil"/>
            </w:tcBorders>
            <w:shd w:val="clear" w:color="000000" w:fill="FFFFFF"/>
            <w:noWrap/>
            <w:vAlign w:val="center"/>
            <w:hideMark/>
          </w:tcPr>
          <w:p w14:paraId="44960A03" w14:textId="4FFC2E19" w:rsidR="00527AD3" w:rsidRPr="00C76A39" w:rsidRDefault="00527AD3" w:rsidP="005E0EB8">
            <w:pPr>
              <w:spacing w:after="0" w:line="240" w:lineRule="auto"/>
              <w:jc w:val="right"/>
              <w:rPr>
                <w:rFonts w:ascii="Aptos" w:eastAsia="Times New Roman" w:hAnsi="Aptos"/>
                <w:b/>
                <w:bCs/>
                <w:color w:val="000000"/>
                <w:sz w:val="20"/>
                <w:szCs w:val="20"/>
                <w:lang w:val="en-GB" w:eastAsia="el-GR"/>
              </w:rPr>
            </w:pPr>
            <w:r w:rsidRPr="00C76A39">
              <w:rPr>
                <w:rFonts w:ascii="Aptos" w:eastAsia="Times New Roman" w:hAnsi="Aptos"/>
                <w:b/>
                <w:bCs/>
                <w:color w:val="000000"/>
                <w:sz w:val="20"/>
                <w:szCs w:val="20"/>
                <w:lang w:val="en-GB" w:eastAsia="el-GR"/>
              </w:rPr>
              <w:t>202</w:t>
            </w:r>
            <w:r w:rsidR="001C6742" w:rsidRPr="00C76A39">
              <w:rPr>
                <w:rFonts w:ascii="Aptos" w:eastAsia="Times New Roman" w:hAnsi="Aptos"/>
                <w:b/>
                <w:bCs/>
                <w:color w:val="000000"/>
                <w:sz w:val="20"/>
                <w:szCs w:val="20"/>
                <w:lang w:val="en-GB" w:eastAsia="el-GR"/>
              </w:rPr>
              <w:t>6</w:t>
            </w:r>
          </w:p>
        </w:tc>
        <w:tc>
          <w:tcPr>
            <w:tcW w:w="266" w:type="dxa"/>
            <w:tcBorders>
              <w:top w:val="nil"/>
              <w:left w:val="nil"/>
              <w:bottom w:val="nil"/>
              <w:right w:val="nil"/>
            </w:tcBorders>
            <w:shd w:val="clear" w:color="000000" w:fill="FFFFFF"/>
            <w:vAlign w:val="center"/>
            <w:hideMark/>
          </w:tcPr>
          <w:p w14:paraId="4B0AE231" w14:textId="77777777" w:rsidR="00527AD3" w:rsidRPr="00C76A39" w:rsidRDefault="00527AD3" w:rsidP="005E0EB8">
            <w:pPr>
              <w:spacing w:after="0" w:line="240" w:lineRule="auto"/>
              <w:jc w:val="right"/>
              <w:rPr>
                <w:rFonts w:ascii="Aptos" w:eastAsia="Times New Roman" w:hAnsi="Aptos"/>
                <w:b/>
                <w:bCs/>
                <w:color w:val="000000"/>
                <w:sz w:val="20"/>
                <w:szCs w:val="20"/>
                <w:lang w:val="en-GB" w:eastAsia="el-GR"/>
              </w:rPr>
            </w:pPr>
            <w:r w:rsidRPr="00C76A39">
              <w:rPr>
                <w:rFonts w:ascii="Aptos" w:eastAsia="Times New Roman" w:hAnsi="Aptos"/>
                <w:b/>
                <w:bCs/>
                <w:color w:val="000000"/>
                <w:sz w:val="20"/>
                <w:szCs w:val="20"/>
                <w:lang w:val="en-GB" w:eastAsia="el-GR"/>
              </w:rPr>
              <w:t> </w:t>
            </w:r>
          </w:p>
        </w:tc>
        <w:tc>
          <w:tcPr>
            <w:tcW w:w="1725" w:type="dxa"/>
            <w:tcBorders>
              <w:top w:val="nil"/>
              <w:left w:val="nil"/>
              <w:bottom w:val="nil"/>
              <w:right w:val="nil"/>
            </w:tcBorders>
            <w:shd w:val="clear" w:color="000000" w:fill="FFFFFF"/>
            <w:noWrap/>
            <w:vAlign w:val="center"/>
            <w:hideMark/>
          </w:tcPr>
          <w:p w14:paraId="7B94481D" w14:textId="33BAA589" w:rsidR="00527AD3" w:rsidRPr="00C76A39" w:rsidRDefault="00527AD3" w:rsidP="005E0EB8">
            <w:pPr>
              <w:spacing w:after="0" w:line="240" w:lineRule="auto"/>
              <w:jc w:val="right"/>
              <w:rPr>
                <w:rFonts w:ascii="Aptos" w:eastAsia="Times New Roman" w:hAnsi="Aptos"/>
                <w:b/>
                <w:bCs/>
                <w:color w:val="000000"/>
                <w:sz w:val="20"/>
                <w:szCs w:val="20"/>
                <w:lang w:val="en-GB" w:eastAsia="el-GR"/>
              </w:rPr>
            </w:pPr>
            <w:r w:rsidRPr="00C76A39">
              <w:rPr>
                <w:rFonts w:ascii="Aptos" w:eastAsia="Times New Roman" w:hAnsi="Aptos"/>
                <w:b/>
                <w:bCs/>
                <w:color w:val="000000"/>
                <w:sz w:val="20"/>
                <w:szCs w:val="20"/>
                <w:lang w:val="en-GB" w:eastAsia="el-GR"/>
              </w:rPr>
              <w:t>202</w:t>
            </w:r>
            <w:r w:rsidR="001C6742" w:rsidRPr="00C76A39">
              <w:rPr>
                <w:rFonts w:ascii="Aptos" w:eastAsia="Times New Roman" w:hAnsi="Aptos"/>
                <w:b/>
                <w:bCs/>
                <w:color w:val="000000"/>
                <w:sz w:val="20"/>
                <w:szCs w:val="20"/>
                <w:lang w:val="en-GB" w:eastAsia="el-GR"/>
              </w:rPr>
              <w:t>5</w:t>
            </w:r>
          </w:p>
        </w:tc>
      </w:tr>
      <w:tr w:rsidR="00935E6D" w:rsidRPr="00BE5E19" w14:paraId="633A37CD" w14:textId="77777777" w:rsidTr="008B4D81">
        <w:trPr>
          <w:trHeight w:val="300"/>
        </w:trPr>
        <w:tc>
          <w:tcPr>
            <w:tcW w:w="6292" w:type="dxa"/>
            <w:tcBorders>
              <w:top w:val="nil"/>
              <w:left w:val="nil"/>
              <w:bottom w:val="nil"/>
              <w:right w:val="nil"/>
            </w:tcBorders>
            <w:shd w:val="clear" w:color="000000" w:fill="FFFFFF"/>
            <w:noWrap/>
            <w:vAlign w:val="center"/>
            <w:hideMark/>
          </w:tcPr>
          <w:p w14:paraId="3D8A93DB" w14:textId="239D35ED" w:rsidR="00935E6D" w:rsidRPr="00C76A39" w:rsidRDefault="00935E6D" w:rsidP="005E0EB8">
            <w:pPr>
              <w:spacing w:after="0" w:line="240" w:lineRule="auto"/>
              <w:jc w:val="both"/>
              <w:rPr>
                <w:rFonts w:ascii="Aptos" w:eastAsia="Times New Roman" w:hAnsi="Aptos"/>
                <w:b/>
                <w:bCs/>
                <w:sz w:val="20"/>
                <w:szCs w:val="20"/>
                <w:lang w:val="en-GB" w:eastAsia="el-GR"/>
              </w:rPr>
            </w:pPr>
            <w:r w:rsidRPr="00124F26">
              <w:rPr>
                <w:b/>
                <w:bCs/>
                <w:color w:val="000000"/>
                <w:sz w:val="20"/>
                <w:szCs w:val="20"/>
              </w:rPr>
              <w:t>Πωλήσεις</w:t>
            </w:r>
          </w:p>
        </w:tc>
        <w:tc>
          <w:tcPr>
            <w:tcW w:w="1850" w:type="dxa"/>
            <w:tcBorders>
              <w:top w:val="nil"/>
              <w:left w:val="nil"/>
              <w:bottom w:val="nil"/>
              <w:right w:val="nil"/>
            </w:tcBorders>
            <w:shd w:val="clear" w:color="auto" w:fill="E2EFD9"/>
            <w:noWrap/>
            <w:vAlign w:val="bottom"/>
          </w:tcPr>
          <w:p w14:paraId="0856FC26" w14:textId="77D0BEF4"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153</w:t>
            </w:r>
            <w:r w:rsidR="005E46E0">
              <w:rPr>
                <w:rFonts w:ascii="Aptos" w:hAnsi="Aptos" w:cs="Calibri"/>
                <w:color w:val="000000"/>
                <w:sz w:val="20"/>
                <w:szCs w:val="20"/>
                <w:lang w:val="en-US"/>
              </w:rPr>
              <w:t>.</w:t>
            </w:r>
            <w:r w:rsidRPr="00C76A39">
              <w:rPr>
                <w:rFonts w:ascii="Aptos" w:hAnsi="Aptos" w:cs="Calibri"/>
                <w:color w:val="000000"/>
                <w:sz w:val="20"/>
                <w:szCs w:val="20"/>
              </w:rPr>
              <w:t>200</w:t>
            </w:r>
          </w:p>
        </w:tc>
        <w:tc>
          <w:tcPr>
            <w:tcW w:w="266" w:type="dxa"/>
            <w:tcBorders>
              <w:top w:val="nil"/>
              <w:left w:val="nil"/>
              <w:bottom w:val="nil"/>
              <w:right w:val="nil"/>
            </w:tcBorders>
            <w:shd w:val="clear" w:color="000000" w:fill="FFFFFF"/>
            <w:noWrap/>
            <w:vAlign w:val="bottom"/>
            <w:hideMark/>
          </w:tcPr>
          <w:p w14:paraId="0C140225" w14:textId="3D1CBE48"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76A2EBBA" w14:textId="605AB837"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022</w:t>
            </w:r>
            <w:r w:rsidR="005E46E0">
              <w:rPr>
                <w:rFonts w:ascii="Aptos" w:hAnsi="Aptos" w:cs="Calibri"/>
                <w:color w:val="000000"/>
                <w:sz w:val="20"/>
                <w:szCs w:val="20"/>
                <w:lang w:val="en-US"/>
              </w:rPr>
              <w:t>.</w:t>
            </w:r>
            <w:r w:rsidRPr="00C76A39">
              <w:rPr>
                <w:rFonts w:ascii="Aptos" w:hAnsi="Aptos" w:cs="Calibri"/>
                <w:color w:val="000000"/>
                <w:sz w:val="20"/>
                <w:szCs w:val="20"/>
              </w:rPr>
              <w:t>220</w:t>
            </w:r>
          </w:p>
        </w:tc>
      </w:tr>
      <w:tr w:rsidR="00935E6D" w:rsidRPr="00BE5E19" w14:paraId="3110DAC0" w14:textId="77777777" w:rsidTr="008B4D81">
        <w:trPr>
          <w:trHeight w:val="300"/>
        </w:trPr>
        <w:tc>
          <w:tcPr>
            <w:tcW w:w="6292" w:type="dxa"/>
            <w:tcBorders>
              <w:top w:val="nil"/>
              <w:left w:val="nil"/>
              <w:bottom w:val="nil"/>
              <w:right w:val="nil"/>
            </w:tcBorders>
            <w:shd w:val="clear" w:color="000000" w:fill="FFFFFF"/>
            <w:noWrap/>
            <w:vAlign w:val="center"/>
            <w:hideMark/>
          </w:tcPr>
          <w:p w14:paraId="4B7BAFC7" w14:textId="370F9DAD"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Κόστος πωληθέντων</w:t>
            </w:r>
          </w:p>
        </w:tc>
        <w:tc>
          <w:tcPr>
            <w:tcW w:w="1850" w:type="dxa"/>
            <w:tcBorders>
              <w:top w:val="nil"/>
              <w:left w:val="nil"/>
              <w:bottom w:val="nil"/>
              <w:right w:val="nil"/>
            </w:tcBorders>
            <w:shd w:val="clear" w:color="auto" w:fill="E2EFD9"/>
            <w:noWrap/>
            <w:vAlign w:val="bottom"/>
          </w:tcPr>
          <w:p w14:paraId="63134C3E" w14:textId="44F0F9E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(913</w:t>
            </w:r>
            <w:r w:rsidR="005E46E0">
              <w:rPr>
                <w:rFonts w:ascii="Aptos" w:hAnsi="Aptos" w:cs="Calibri"/>
                <w:color w:val="000000"/>
                <w:sz w:val="20"/>
                <w:szCs w:val="20"/>
                <w:lang w:val="en-US"/>
              </w:rPr>
              <w:t>.</w:t>
            </w:r>
            <w:r w:rsidRPr="00C76A39">
              <w:rPr>
                <w:rFonts w:ascii="Aptos" w:hAnsi="Aptos" w:cs="Calibri"/>
                <w:color w:val="000000"/>
                <w:sz w:val="20"/>
                <w:szCs w:val="20"/>
              </w:rPr>
              <w:t>212)</w:t>
            </w:r>
          </w:p>
        </w:tc>
        <w:tc>
          <w:tcPr>
            <w:tcW w:w="266" w:type="dxa"/>
            <w:tcBorders>
              <w:top w:val="nil"/>
              <w:left w:val="nil"/>
              <w:bottom w:val="nil"/>
              <w:right w:val="nil"/>
            </w:tcBorders>
            <w:shd w:val="clear" w:color="000000" w:fill="FFFFFF"/>
            <w:noWrap/>
            <w:vAlign w:val="bottom"/>
            <w:hideMark/>
          </w:tcPr>
          <w:p w14:paraId="7660D663" w14:textId="2FF7A88E"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7C0D9B6F" w14:textId="7EBC2127"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(837</w:t>
            </w:r>
            <w:r w:rsidR="005E46E0">
              <w:rPr>
                <w:rFonts w:ascii="Aptos" w:hAnsi="Aptos" w:cs="Calibri"/>
                <w:color w:val="000000"/>
                <w:sz w:val="20"/>
                <w:szCs w:val="20"/>
                <w:lang w:val="en-US"/>
              </w:rPr>
              <w:t>.</w:t>
            </w:r>
            <w:r w:rsidRPr="00C76A39">
              <w:rPr>
                <w:rFonts w:ascii="Aptos" w:hAnsi="Aptos" w:cs="Calibri"/>
                <w:color w:val="000000"/>
                <w:sz w:val="20"/>
                <w:szCs w:val="20"/>
              </w:rPr>
              <w:t>121)</w:t>
            </w:r>
          </w:p>
        </w:tc>
      </w:tr>
      <w:tr w:rsidR="00935E6D" w:rsidRPr="00BE5E19" w14:paraId="15EAEABB" w14:textId="77777777" w:rsidTr="008B4D81">
        <w:trPr>
          <w:trHeight w:val="300"/>
        </w:trPr>
        <w:tc>
          <w:tcPr>
            <w:tcW w:w="6292" w:type="dxa"/>
            <w:tcBorders>
              <w:top w:val="nil"/>
              <w:left w:val="nil"/>
              <w:bottom w:val="nil"/>
              <w:right w:val="nil"/>
            </w:tcBorders>
            <w:shd w:val="clear" w:color="000000" w:fill="FFFFFF"/>
            <w:noWrap/>
            <w:vAlign w:val="center"/>
            <w:hideMark/>
          </w:tcPr>
          <w:p w14:paraId="6EA4C11A" w14:textId="1E146CE3" w:rsidR="00935E6D" w:rsidRPr="00C76A39" w:rsidRDefault="00935E6D" w:rsidP="005E0EB8">
            <w:pPr>
              <w:spacing w:after="0" w:line="240" w:lineRule="auto"/>
              <w:jc w:val="both"/>
              <w:rPr>
                <w:rFonts w:ascii="Aptos" w:eastAsia="Times New Roman" w:hAnsi="Aptos"/>
                <w:b/>
                <w:bCs/>
                <w:sz w:val="20"/>
                <w:szCs w:val="20"/>
                <w:lang w:val="en-GB" w:eastAsia="el-GR"/>
              </w:rPr>
            </w:pPr>
            <w:r w:rsidRPr="00734618">
              <w:rPr>
                <w:b/>
                <w:color w:val="000000"/>
                <w:sz w:val="20"/>
                <w:szCs w:val="20"/>
              </w:rPr>
              <w:t>Μικτό κέρδος</w:t>
            </w:r>
          </w:p>
        </w:tc>
        <w:tc>
          <w:tcPr>
            <w:tcW w:w="1850" w:type="dxa"/>
            <w:tcBorders>
              <w:top w:val="single" w:sz="4" w:space="0" w:color="auto"/>
              <w:left w:val="nil"/>
              <w:bottom w:val="single" w:sz="4" w:space="0" w:color="auto"/>
              <w:right w:val="nil"/>
            </w:tcBorders>
            <w:shd w:val="clear" w:color="auto" w:fill="E2EFD9"/>
            <w:noWrap/>
            <w:vAlign w:val="bottom"/>
          </w:tcPr>
          <w:p w14:paraId="4190FBFB" w14:textId="2C4A2D45"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239</w:t>
            </w:r>
            <w:r w:rsidR="005E46E0">
              <w:rPr>
                <w:rFonts w:ascii="Aptos" w:hAnsi="Aptos" w:cs="Calibri"/>
                <w:b/>
                <w:bCs/>
                <w:color w:val="000000"/>
                <w:sz w:val="20"/>
                <w:szCs w:val="20"/>
                <w:lang w:val="en-US"/>
              </w:rPr>
              <w:t>.</w:t>
            </w:r>
            <w:r w:rsidRPr="00C76A39">
              <w:rPr>
                <w:rFonts w:ascii="Aptos" w:hAnsi="Aptos" w:cs="Calibri"/>
                <w:b/>
                <w:bCs/>
                <w:color w:val="000000"/>
                <w:sz w:val="20"/>
                <w:szCs w:val="20"/>
              </w:rPr>
              <w:t>988</w:t>
            </w:r>
          </w:p>
        </w:tc>
        <w:tc>
          <w:tcPr>
            <w:tcW w:w="266" w:type="dxa"/>
            <w:tcBorders>
              <w:top w:val="nil"/>
              <w:left w:val="nil"/>
              <w:bottom w:val="nil"/>
              <w:right w:val="nil"/>
            </w:tcBorders>
            <w:shd w:val="clear" w:color="000000" w:fill="FFFFFF"/>
            <w:noWrap/>
            <w:vAlign w:val="bottom"/>
            <w:hideMark/>
          </w:tcPr>
          <w:p w14:paraId="721F97A2" w14:textId="560BF20C"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 </w:t>
            </w:r>
          </w:p>
        </w:tc>
        <w:tc>
          <w:tcPr>
            <w:tcW w:w="1725" w:type="dxa"/>
            <w:tcBorders>
              <w:top w:val="single" w:sz="4" w:space="0" w:color="auto"/>
              <w:left w:val="nil"/>
              <w:bottom w:val="single" w:sz="4" w:space="0" w:color="auto"/>
              <w:right w:val="nil"/>
            </w:tcBorders>
            <w:shd w:val="clear" w:color="000000" w:fill="FFFFFF"/>
            <w:noWrap/>
            <w:vAlign w:val="bottom"/>
            <w:hideMark/>
          </w:tcPr>
          <w:p w14:paraId="41091EAF" w14:textId="4178564C"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185</w:t>
            </w:r>
            <w:r w:rsidR="005E46E0">
              <w:rPr>
                <w:rFonts w:ascii="Aptos" w:hAnsi="Aptos" w:cs="Calibri"/>
                <w:b/>
                <w:bCs/>
                <w:color w:val="000000"/>
                <w:sz w:val="20"/>
                <w:szCs w:val="20"/>
                <w:lang w:val="en-US"/>
              </w:rPr>
              <w:t>.</w:t>
            </w:r>
            <w:r w:rsidRPr="00C76A39">
              <w:rPr>
                <w:rFonts w:ascii="Aptos" w:hAnsi="Aptos" w:cs="Calibri"/>
                <w:b/>
                <w:bCs/>
                <w:color w:val="000000"/>
                <w:sz w:val="20"/>
                <w:szCs w:val="20"/>
              </w:rPr>
              <w:t>099</w:t>
            </w:r>
          </w:p>
        </w:tc>
      </w:tr>
      <w:tr w:rsidR="00935E6D" w:rsidRPr="00BE5E19" w14:paraId="2715E45E" w14:textId="77777777" w:rsidTr="008B4D81">
        <w:trPr>
          <w:trHeight w:val="300"/>
        </w:trPr>
        <w:tc>
          <w:tcPr>
            <w:tcW w:w="6292" w:type="dxa"/>
            <w:tcBorders>
              <w:top w:val="nil"/>
              <w:left w:val="nil"/>
              <w:bottom w:val="nil"/>
              <w:right w:val="nil"/>
            </w:tcBorders>
            <w:shd w:val="clear" w:color="000000" w:fill="FFFFFF"/>
            <w:noWrap/>
            <w:vAlign w:val="center"/>
            <w:hideMark/>
          </w:tcPr>
          <w:p w14:paraId="703BC286" w14:textId="35147CCE"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Λοιπά έσοδα</w:t>
            </w:r>
          </w:p>
        </w:tc>
        <w:tc>
          <w:tcPr>
            <w:tcW w:w="1850" w:type="dxa"/>
            <w:tcBorders>
              <w:top w:val="nil"/>
              <w:left w:val="nil"/>
              <w:bottom w:val="nil"/>
              <w:right w:val="nil"/>
            </w:tcBorders>
            <w:shd w:val="clear" w:color="auto" w:fill="E2EFD9"/>
            <w:noWrap/>
            <w:vAlign w:val="bottom"/>
          </w:tcPr>
          <w:p w14:paraId="3FA29088" w14:textId="7DD6B61C"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954</w:t>
            </w:r>
          </w:p>
        </w:tc>
        <w:tc>
          <w:tcPr>
            <w:tcW w:w="266" w:type="dxa"/>
            <w:tcBorders>
              <w:top w:val="nil"/>
              <w:left w:val="nil"/>
              <w:bottom w:val="nil"/>
              <w:right w:val="nil"/>
            </w:tcBorders>
            <w:shd w:val="clear" w:color="000000" w:fill="FFFFFF"/>
            <w:noWrap/>
            <w:vAlign w:val="bottom"/>
            <w:hideMark/>
          </w:tcPr>
          <w:p w14:paraId="5A8F8300" w14:textId="2007216B"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4EA18FC9" w14:textId="745B634D"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2</w:t>
            </w:r>
            <w:r w:rsidR="005E46E0">
              <w:rPr>
                <w:rFonts w:ascii="Aptos" w:hAnsi="Aptos" w:cs="Calibri"/>
                <w:color w:val="000000"/>
                <w:sz w:val="20"/>
                <w:szCs w:val="20"/>
                <w:lang w:val="en-US"/>
              </w:rPr>
              <w:t>.</w:t>
            </w:r>
            <w:r w:rsidRPr="00C76A39">
              <w:rPr>
                <w:rFonts w:ascii="Aptos" w:hAnsi="Aptos" w:cs="Calibri"/>
                <w:color w:val="000000"/>
                <w:sz w:val="20"/>
                <w:szCs w:val="20"/>
              </w:rPr>
              <w:t>412</w:t>
            </w:r>
          </w:p>
        </w:tc>
      </w:tr>
      <w:tr w:rsidR="00935E6D" w:rsidRPr="00BE5E19" w14:paraId="0972BD09" w14:textId="77777777" w:rsidTr="008B4D81">
        <w:trPr>
          <w:trHeight w:val="300"/>
        </w:trPr>
        <w:tc>
          <w:tcPr>
            <w:tcW w:w="6292" w:type="dxa"/>
            <w:tcBorders>
              <w:top w:val="nil"/>
              <w:left w:val="nil"/>
              <w:bottom w:val="nil"/>
              <w:right w:val="nil"/>
            </w:tcBorders>
            <w:shd w:val="clear" w:color="000000" w:fill="FFFFFF"/>
            <w:noWrap/>
            <w:vAlign w:val="center"/>
            <w:hideMark/>
          </w:tcPr>
          <w:p w14:paraId="0DE6B588" w14:textId="43E96156"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Έξοδα διάθεσης</w:t>
            </w:r>
          </w:p>
        </w:tc>
        <w:tc>
          <w:tcPr>
            <w:tcW w:w="1850" w:type="dxa"/>
            <w:tcBorders>
              <w:top w:val="nil"/>
              <w:left w:val="nil"/>
              <w:bottom w:val="nil"/>
              <w:right w:val="nil"/>
            </w:tcBorders>
            <w:shd w:val="clear" w:color="auto" w:fill="E2EFD9"/>
            <w:noWrap/>
            <w:vAlign w:val="bottom"/>
          </w:tcPr>
          <w:p w14:paraId="66CECB8A" w14:textId="171E62A1"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(10</w:t>
            </w:r>
            <w:r w:rsidR="005E46E0">
              <w:rPr>
                <w:rFonts w:ascii="Aptos" w:hAnsi="Aptos" w:cs="Calibri"/>
                <w:color w:val="000000"/>
                <w:sz w:val="20"/>
                <w:szCs w:val="20"/>
                <w:lang w:val="en-US"/>
              </w:rPr>
              <w:t>.</w:t>
            </w:r>
            <w:r w:rsidRPr="00C76A39">
              <w:rPr>
                <w:rFonts w:ascii="Aptos" w:hAnsi="Aptos" w:cs="Calibri"/>
                <w:color w:val="000000"/>
                <w:sz w:val="20"/>
                <w:szCs w:val="20"/>
              </w:rPr>
              <w:t>897)</w:t>
            </w:r>
          </w:p>
        </w:tc>
        <w:tc>
          <w:tcPr>
            <w:tcW w:w="266" w:type="dxa"/>
            <w:tcBorders>
              <w:top w:val="nil"/>
              <w:left w:val="nil"/>
              <w:bottom w:val="nil"/>
              <w:right w:val="nil"/>
            </w:tcBorders>
            <w:shd w:val="clear" w:color="000000" w:fill="FFFFFF"/>
            <w:noWrap/>
            <w:vAlign w:val="bottom"/>
            <w:hideMark/>
          </w:tcPr>
          <w:p w14:paraId="2663629F" w14:textId="16626DC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4DCB4068" w14:textId="467CE219"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(8</w:t>
            </w:r>
            <w:r w:rsidR="005E46E0">
              <w:rPr>
                <w:rFonts w:ascii="Aptos" w:hAnsi="Aptos" w:cs="Calibri"/>
                <w:color w:val="000000"/>
                <w:sz w:val="20"/>
                <w:szCs w:val="20"/>
                <w:lang w:val="en-US"/>
              </w:rPr>
              <w:t>.</w:t>
            </w:r>
            <w:r w:rsidRPr="00C76A39">
              <w:rPr>
                <w:rFonts w:ascii="Aptos" w:hAnsi="Aptos" w:cs="Calibri"/>
                <w:color w:val="000000"/>
                <w:sz w:val="20"/>
                <w:szCs w:val="20"/>
              </w:rPr>
              <w:t>649)</w:t>
            </w:r>
          </w:p>
        </w:tc>
      </w:tr>
      <w:tr w:rsidR="00935E6D" w:rsidRPr="00BE5E19" w14:paraId="32141775" w14:textId="77777777" w:rsidTr="008B4D81">
        <w:trPr>
          <w:trHeight w:val="300"/>
        </w:trPr>
        <w:tc>
          <w:tcPr>
            <w:tcW w:w="6292" w:type="dxa"/>
            <w:tcBorders>
              <w:top w:val="nil"/>
              <w:left w:val="nil"/>
              <w:bottom w:val="nil"/>
              <w:right w:val="nil"/>
            </w:tcBorders>
            <w:shd w:val="clear" w:color="000000" w:fill="FFFFFF"/>
            <w:noWrap/>
            <w:vAlign w:val="center"/>
            <w:hideMark/>
          </w:tcPr>
          <w:p w14:paraId="11CAC14A" w14:textId="4299D194"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Έξοδα διοίκησης</w:t>
            </w:r>
          </w:p>
        </w:tc>
        <w:tc>
          <w:tcPr>
            <w:tcW w:w="1850" w:type="dxa"/>
            <w:tcBorders>
              <w:top w:val="nil"/>
              <w:left w:val="nil"/>
              <w:bottom w:val="nil"/>
              <w:right w:val="nil"/>
            </w:tcBorders>
            <w:shd w:val="clear" w:color="auto" w:fill="E2EFD9"/>
            <w:noWrap/>
            <w:vAlign w:val="bottom"/>
          </w:tcPr>
          <w:p w14:paraId="2A65DE25" w14:textId="22A08853"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(31</w:t>
            </w:r>
            <w:r w:rsidR="005E46E0">
              <w:rPr>
                <w:rFonts w:ascii="Aptos" w:hAnsi="Aptos" w:cs="Calibri"/>
                <w:color w:val="000000"/>
                <w:sz w:val="20"/>
                <w:szCs w:val="20"/>
                <w:lang w:val="en-US"/>
              </w:rPr>
              <w:t>.</w:t>
            </w:r>
            <w:r w:rsidRPr="00C76A39">
              <w:rPr>
                <w:rFonts w:ascii="Aptos" w:hAnsi="Aptos" w:cs="Calibri"/>
                <w:color w:val="000000"/>
                <w:sz w:val="20"/>
                <w:szCs w:val="20"/>
              </w:rPr>
              <w:t>182)</w:t>
            </w:r>
          </w:p>
        </w:tc>
        <w:tc>
          <w:tcPr>
            <w:tcW w:w="266" w:type="dxa"/>
            <w:tcBorders>
              <w:top w:val="nil"/>
              <w:left w:val="nil"/>
              <w:bottom w:val="nil"/>
              <w:right w:val="nil"/>
            </w:tcBorders>
            <w:shd w:val="clear" w:color="000000" w:fill="FFFFFF"/>
            <w:noWrap/>
            <w:vAlign w:val="bottom"/>
            <w:hideMark/>
          </w:tcPr>
          <w:p w14:paraId="2107F601" w14:textId="46CFB2B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49753F8E" w14:textId="128EB84D"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(25</w:t>
            </w:r>
            <w:r w:rsidR="005E46E0">
              <w:rPr>
                <w:rFonts w:ascii="Aptos" w:hAnsi="Aptos" w:cs="Calibri"/>
                <w:color w:val="000000"/>
                <w:sz w:val="20"/>
                <w:szCs w:val="20"/>
                <w:lang w:val="en-US"/>
              </w:rPr>
              <w:t>.</w:t>
            </w:r>
            <w:r w:rsidRPr="00C76A39">
              <w:rPr>
                <w:rFonts w:ascii="Aptos" w:hAnsi="Aptos" w:cs="Calibri"/>
                <w:color w:val="000000"/>
                <w:sz w:val="20"/>
                <w:szCs w:val="20"/>
              </w:rPr>
              <w:t>845)</w:t>
            </w:r>
          </w:p>
        </w:tc>
      </w:tr>
      <w:tr w:rsidR="00935E6D" w:rsidRPr="00BE5E19" w14:paraId="71B07C39" w14:textId="77777777" w:rsidTr="008B4D81">
        <w:trPr>
          <w:trHeight w:val="300"/>
        </w:trPr>
        <w:tc>
          <w:tcPr>
            <w:tcW w:w="6292" w:type="dxa"/>
            <w:tcBorders>
              <w:top w:val="nil"/>
              <w:left w:val="nil"/>
              <w:bottom w:val="nil"/>
              <w:right w:val="nil"/>
            </w:tcBorders>
            <w:shd w:val="clear" w:color="000000" w:fill="FFFFFF"/>
            <w:noWrap/>
            <w:vAlign w:val="center"/>
          </w:tcPr>
          <w:p w14:paraId="47D4BA6C" w14:textId="723638C6" w:rsidR="00935E6D" w:rsidRPr="00935E6D" w:rsidRDefault="00935E6D" w:rsidP="005E0EB8">
            <w:pPr>
              <w:spacing w:after="0" w:line="240" w:lineRule="auto"/>
              <w:jc w:val="both"/>
              <w:rPr>
                <w:rFonts w:ascii="Aptos" w:eastAsia="Times New Roman" w:hAnsi="Aptos"/>
                <w:sz w:val="20"/>
                <w:szCs w:val="20"/>
                <w:lang w:eastAsia="el-GR"/>
              </w:rPr>
            </w:pPr>
            <w:r w:rsidRPr="007D523A">
              <w:rPr>
                <w:color w:val="000000"/>
                <w:sz w:val="20"/>
                <w:szCs w:val="20"/>
              </w:rPr>
              <w:t>Ζημία απομείωσης απαιτήσεων και συμβατικών περιουσιακών στοιχείων</w:t>
            </w:r>
          </w:p>
        </w:tc>
        <w:tc>
          <w:tcPr>
            <w:tcW w:w="1850" w:type="dxa"/>
            <w:tcBorders>
              <w:top w:val="nil"/>
              <w:left w:val="nil"/>
              <w:bottom w:val="nil"/>
              <w:right w:val="nil"/>
            </w:tcBorders>
            <w:shd w:val="clear" w:color="auto" w:fill="E2EFD9"/>
            <w:noWrap/>
            <w:vAlign w:val="bottom"/>
          </w:tcPr>
          <w:p w14:paraId="47008FAF" w14:textId="6B867875"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(204)</w:t>
            </w:r>
          </w:p>
        </w:tc>
        <w:tc>
          <w:tcPr>
            <w:tcW w:w="266" w:type="dxa"/>
            <w:tcBorders>
              <w:top w:val="nil"/>
              <w:left w:val="nil"/>
              <w:bottom w:val="nil"/>
              <w:right w:val="nil"/>
            </w:tcBorders>
            <w:shd w:val="clear" w:color="000000" w:fill="FFFFFF"/>
            <w:noWrap/>
            <w:vAlign w:val="bottom"/>
          </w:tcPr>
          <w:p w14:paraId="7B950D3A" w14:textId="3C40CF81"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tcPr>
          <w:p w14:paraId="2029766A" w14:textId="1547571A"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(65)</w:t>
            </w:r>
          </w:p>
        </w:tc>
      </w:tr>
      <w:tr w:rsidR="00935E6D" w:rsidRPr="00BE5E19" w14:paraId="201D2503" w14:textId="77777777" w:rsidTr="008B4D81">
        <w:trPr>
          <w:trHeight w:val="300"/>
        </w:trPr>
        <w:tc>
          <w:tcPr>
            <w:tcW w:w="6292" w:type="dxa"/>
            <w:tcBorders>
              <w:top w:val="nil"/>
              <w:left w:val="nil"/>
              <w:bottom w:val="nil"/>
              <w:right w:val="nil"/>
            </w:tcBorders>
            <w:shd w:val="clear" w:color="000000" w:fill="FFFFFF"/>
            <w:noWrap/>
            <w:vAlign w:val="center"/>
            <w:hideMark/>
          </w:tcPr>
          <w:p w14:paraId="1A9A8DFF" w14:textId="46F3CCEA"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Λοιπά έξοδα</w:t>
            </w:r>
          </w:p>
        </w:tc>
        <w:tc>
          <w:tcPr>
            <w:tcW w:w="1850" w:type="dxa"/>
            <w:tcBorders>
              <w:top w:val="nil"/>
              <w:left w:val="nil"/>
              <w:bottom w:val="nil"/>
              <w:right w:val="nil"/>
            </w:tcBorders>
            <w:shd w:val="clear" w:color="auto" w:fill="E2EFD9"/>
            <w:noWrap/>
            <w:vAlign w:val="bottom"/>
          </w:tcPr>
          <w:p w14:paraId="364629B5" w14:textId="605212F4"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427)</w:t>
            </w:r>
          </w:p>
        </w:tc>
        <w:tc>
          <w:tcPr>
            <w:tcW w:w="266" w:type="dxa"/>
            <w:tcBorders>
              <w:top w:val="nil"/>
              <w:left w:val="nil"/>
              <w:bottom w:val="nil"/>
              <w:right w:val="nil"/>
            </w:tcBorders>
            <w:shd w:val="clear" w:color="000000" w:fill="FFFFFF"/>
            <w:noWrap/>
            <w:vAlign w:val="bottom"/>
            <w:hideMark/>
          </w:tcPr>
          <w:p w14:paraId="3CBAD5D4" w14:textId="098EDBCA"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66A9EE05" w14:textId="46AF4E1E"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587)</w:t>
            </w:r>
          </w:p>
        </w:tc>
      </w:tr>
      <w:tr w:rsidR="00935E6D" w:rsidRPr="00BE5E19" w14:paraId="55CB4FDF" w14:textId="77777777" w:rsidTr="008B4D81">
        <w:trPr>
          <w:trHeight w:val="300"/>
        </w:trPr>
        <w:tc>
          <w:tcPr>
            <w:tcW w:w="6292" w:type="dxa"/>
            <w:tcBorders>
              <w:top w:val="nil"/>
              <w:left w:val="nil"/>
              <w:bottom w:val="nil"/>
              <w:right w:val="nil"/>
            </w:tcBorders>
            <w:shd w:val="clear" w:color="000000" w:fill="FFFFFF"/>
            <w:noWrap/>
            <w:vAlign w:val="center"/>
            <w:hideMark/>
          </w:tcPr>
          <w:p w14:paraId="1921ACD9" w14:textId="7FABE0C0" w:rsidR="00935E6D" w:rsidRPr="00C76A39" w:rsidRDefault="00935E6D" w:rsidP="005E0EB8">
            <w:pPr>
              <w:spacing w:after="0" w:line="240" w:lineRule="auto"/>
              <w:jc w:val="both"/>
              <w:rPr>
                <w:rFonts w:ascii="Aptos" w:eastAsia="Times New Roman" w:hAnsi="Aptos"/>
                <w:b/>
                <w:bCs/>
                <w:sz w:val="20"/>
                <w:szCs w:val="20"/>
                <w:lang w:val="en-GB" w:eastAsia="el-GR"/>
              </w:rPr>
            </w:pPr>
            <w:r w:rsidRPr="00734618">
              <w:rPr>
                <w:b/>
                <w:color w:val="000000"/>
                <w:sz w:val="20"/>
                <w:szCs w:val="20"/>
              </w:rPr>
              <w:t>Λειτουργικά κέρδη</w:t>
            </w:r>
          </w:p>
        </w:tc>
        <w:tc>
          <w:tcPr>
            <w:tcW w:w="1850" w:type="dxa"/>
            <w:tcBorders>
              <w:top w:val="single" w:sz="4" w:space="0" w:color="auto"/>
              <w:left w:val="nil"/>
              <w:bottom w:val="single" w:sz="4" w:space="0" w:color="auto"/>
              <w:right w:val="nil"/>
            </w:tcBorders>
            <w:shd w:val="clear" w:color="auto" w:fill="E2EFD9"/>
            <w:noWrap/>
            <w:vAlign w:val="bottom"/>
          </w:tcPr>
          <w:p w14:paraId="3BF0C29F" w14:textId="795D6F46"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198</w:t>
            </w:r>
            <w:r w:rsidR="005E46E0">
              <w:rPr>
                <w:rFonts w:ascii="Aptos" w:hAnsi="Aptos" w:cs="Calibri"/>
                <w:b/>
                <w:bCs/>
                <w:color w:val="000000"/>
                <w:sz w:val="20"/>
                <w:szCs w:val="20"/>
                <w:lang w:val="en-US"/>
              </w:rPr>
              <w:t>.</w:t>
            </w:r>
            <w:r w:rsidRPr="00C76A39">
              <w:rPr>
                <w:rFonts w:ascii="Aptos" w:hAnsi="Aptos" w:cs="Calibri"/>
                <w:b/>
                <w:bCs/>
                <w:color w:val="000000"/>
                <w:sz w:val="20"/>
                <w:szCs w:val="20"/>
              </w:rPr>
              <w:t>232</w:t>
            </w:r>
          </w:p>
        </w:tc>
        <w:tc>
          <w:tcPr>
            <w:tcW w:w="266" w:type="dxa"/>
            <w:tcBorders>
              <w:top w:val="nil"/>
              <w:left w:val="nil"/>
              <w:bottom w:val="nil"/>
              <w:right w:val="nil"/>
            </w:tcBorders>
            <w:shd w:val="clear" w:color="000000" w:fill="FFFFFF"/>
            <w:noWrap/>
            <w:vAlign w:val="bottom"/>
            <w:hideMark/>
          </w:tcPr>
          <w:p w14:paraId="1E6713AC" w14:textId="07258BA3"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single" w:sz="4" w:space="0" w:color="auto"/>
              <w:left w:val="nil"/>
              <w:bottom w:val="single" w:sz="4" w:space="0" w:color="auto"/>
              <w:right w:val="nil"/>
            </w:tcBorders>
            <w:shd w:val="clear" w:color="000000" w:fill="FFFFFF"/>
            <w:noWrap/>
            <w:vAlign w:val="bottom"/>
            <w:hideMark/>
          </w:tcPr>
          <w:p w14:paraId="736A7304" w14:textId="2283D18A"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151</w:t>
            </w:r>
            <w:r w:rsidR="005E46E0">
              <w:rPr>
                <w:rFonts w:ascii="Aptos" w:hAnsi="Aptos" w:cs="Calibri"/>
                <w:b/>
                <w:bCs/>
                <w:color w:val="000000"/>
                <w:sz w:val="20"/>
                <w:szCs w:val="20"/>
                <w:lang w:val="en-US"/>
              </w:rPr>
              <w:t>.</w:t>
            </w:r>
            <w:r w:rsidRPr="00C76A39">
              <w:rPr>
                <w:rFonts w:ascii="Aptos" w:hAnsi="Aptos" w:cs="Calibri"/>
                <w:b/>
                <w:bCs/>
                <w:color w:val="000000"/>
                <w:sz w:val="20"/>
                <w:szCs w:val="20"/>
              </w:rPr>
              <w:t>366</w:t>
            </w:r>
          </w:p>
        </w:tc>
      </w:tr>
      <w:tr w:rsidR="00935E6D" w:rsidRPr="00BE5E19" w14:paraId="0982F0CC" w14:textId="77777777" w:rsidTr="008B4D81">
        <w:trPr>
          <w:trHeight w:val="300"/>
        </w:trPr>
        <w:tc>
          <w:tcPr>
            <w:tcW w:w="6292" w:type="dxa"/>
            <w:tcBorders>
              <w:top w:val="nil"/>
              <w:left w:val="nil"/>
              <w:bottom w:val="nil"/>
              <w:right w:val="nil"/>
            </w:tcBorders>
            <w:shd w:val="clear" w:color="000000" w:fill="FFFFFF"/>
            <w:noWrap/>
            <w:vAlign w:val="center"/>
            <w:hideMark/>
          </w:tcPr>
          <w:p w14:paraId="73C3FBBF" w14:textId="6E33FBDE"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Χρηματοοικονομικά έσοδα</w:t>
            </w:r>
          </w:p>
        </w:tc>
        <w:tc>
          <w:tcPr>
            <w:tcW w:w="1850" w:type="dxa"/>
            <w:tcBorders>
              <w:top w:val="nil"/>
              <w:left w:val="nil"/>
              <w:bottom w:val="nil"/>
              <w:right w:val="nil"/>
            </w:tcBorders>
            <w:shd w:val="clear" w:color="auto" w:fill="E2EFD9"/>
            <w:noWrap/>
            <w:vAlign w:val="bottom"/>
          </w:tcPr>
          <w:p w14:paraId="409DB124" w14:textId="028B2B0F" w:rsidR="00935E6D" w:rsidRPr="00C76A39" w:rsidRDefault="00935E6D" w:rsidP="005E0EB8">
            <w:pPr>
              <w:spacing w:after="0" w:line="240" w:lineRule="auto"/>
              <w:jc w:val="right"/>
              <w:rPr>
                <w:rFonts w:ascii="Aptos" w:hAnsi="Aptos" w:cs="Calibri"/>
                <w:color w:val="000000"/>
                <w:sz w:val="20"/>
                <w:szCs w:val="20"/>
                <w:lang w:val="en-GB"/>
              </w:rPr>
            </w:pPr>
            <w:r w:rsidRPr="00960D0B">
              <w:rPr>
                <w:rFonts w:ascii="Aptos" w:hAnsi="Aptos" w:cs="Calibri"/>
                <w:color w:val="000000"/>
                <w:sz w:val="20"/>
                <w:szCs w:val="20"/>
              </w:rPr>
              <w:t>4</w:t>
            </w:r>
            <w:r w:rsidR="005E46E0">
              <w:rPr>
                <w:rFonts w:ascii="Aptos" w:hAnsi="Aptos" w:cs="Calibri"/>
                <w:color w:val="000000"/>
                <w:sz w:val="20"/>
                <w:szCs w:val="20"/>
                <w:lang w:val="en-US"/>
              </w:rPr>
              <w:t>.</w:t>
            </w:r>
            <w:r w:rsidRPr="00960D0B">
              <w:rPr>
                <w:rFonts w:ascii="Aptos" w:hAnsi="Aptos" w:cs="Calibri"/>
                <w:color w:val="000000"/>
                <w:sz w:val="20"/>
                <w:szCs w:val="20"/>
              </w:rPr>
              <w:t>965</w:t>
            </w:r>
          </w:p>
        </w:tc>
        <w:tc>
          <w:tcPr>
            <w:tcW w:w="266" w:type="dxa"/>
            <w:tcBorders>
              <w:top w:val="nil"/>
              <w:left w:val="nil"/>
              <w:bottom w:val="nil"/>
              <w:right w:val="nil"/>
            </w:tcBorders>
            <w:shd w:val="clear" w:color="000000" w:fill="FFFFFF"/>
            <w:noWrap/>
            <w:vAlign w:val="bottom"/>
            <w:hideMark/>
          </w:tcPr>
          <w:p w14:paraId="7CA19B80" w14:textId="25BDBB6B"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5ED76D24" w14:textId="48649B14"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3</w:t>
            </w:r>
            <w:r w:rsidR="005E46E0">
              <w:rPr>
                <w:rFonts w:ascii="Aptos" w:hAnsi="Aptos" w:cs="Calibri"/>
                <w:color w:val="000000"/>
                <w:sz w:val="20"/>
                <w:szCs w:val="20"/>
                <w:lang w:val="en-US"/>
              </w:rPr>
              <w:t>.</w:t>
            </w:r>
            <w:r w:rsidRPr="00C76A39">
              <w:rPr>
                <w:rFonts w:ascii="Aptos" w:hAnsi="Aptos" w:cs="Calibri"/>
                <w:color w:val="000000"/>
                <w:sz w:val="20"/>
                <w:szCs w:val="20"/>
              </w:rPr>
              <w:t>685</w:t>
            </w:r>
          </w:p>
        </w:tc>
      </w:tr>
      <w:tr w:rsidR="00935E6D" w:rsidRPr="00BE5E19" w14:paraId="01AD9C66" w14:textId="77777777" w:rsidTr="008B4D81">
        <w:trPr>
          <w:trHeight w:val="300"/>
        </w:trPr>
        <w:tc>
          <w:tcPr>
            <w:tcW w:w="6292" w:type="dxa"/>
            <w:tcBorders>
              <w:top w:val="nil"/>
              <w:left w:val="nil"/>
              <w:bottom w:val="nil"/>
              <w:right w:val="nil"/>
            </w:tcBorders>
            <w:shd w:val="clear" w:color="000000" w:fill="FFFFFF"/>
            <w:noWrap/>
            <w:vAlign w:val="center"/>
            <w:hideMark/>
          </w:tcPr>
          <w:p w14:paraId="7F5C791A" w14:textId="0161EFEB"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Χρηματοοικονομικά έξοδα</w:t>
            </w:r>
          </w:p>
        </w:tc>
        <w:tc>
          <w:tcPr>
            <w:tcW w:w="1850" w:type="dxa"/>
            <w:tcBorders>
              <w:top w:val="nil"/>
              <w:left w:val="nil"/>
              <w:bottom w:val="nil"/>
              <w:right w:val="nil"/>
            </w:tcBorders>
            <w:shd w:val="clear" w:color="auto" w:fill="E2EFD9"/>
            <w:noWrap/>
            <w:vAlign w:val="bottom"/>
          </w:tcPr>
          <w:p w14:paraId="199EE717" w14:textId="78A838A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w:t>
            </w:r>
            <w:r>
              <w:rPr>
                <w:rFonts w:ascii="Aptos" w:hAnsi="Aptos" w:cs="Calibri"/>
                <w:color w:val="000000"/>
                <w:sz w:val="20"/>
                <w:szCs w:val="20"/>
                <w:lang w:val="en-US"/>
              </w:rPr>
              <w:t>2</w:t>
            </w:r>
            <w:r w:rsidRPr="00960D0B">
              <w:rPr>
                <w:rFonts w:ascii="Aptos" w:hAnsi="Aptos" w:cs="Calibri"/>
                <w:color w:val="000000"/>
                <w:sz w:val="20"/>
                <w:szCs w:val="20"/>
              </w:rPr>
              <w:t>6</w:t>
            </w:r>
            <w:r w:rsidR="005E46E0">
              <w:rPr>
                <w:rFonts w:ascii="Aptos" w:hAnsi="Aptos" w:cs="Calibri"/>
                <w:color w:val="000000"/>
                <w:sz w:val="20"/>
                <w:szCs w:val="20"/>
                <w:lang w:val="en-US"/>
              </w:rPr>
              <w:t>.</w:t>
            </w:r>
            <w:r w:rsidRPr="00960D0B">
              <w:rPr>
                <w:rFonts w:ascii="Aptos" w:hAnsi="Aptos" w:cs="Calibri"/>
                <w:color w:val="000000"/>
                <w:sz w:val="20"/>
                <w:szCs w:val="20"/>
              </w:rPr>
              <w:t>905</w:t>
            </w:r>
            <w:r w:rsidRPr="00C76A39">
              <w:rPr>
                <w:rFonts w:ascii="Aptos" w:hAnsi="Aptos" w:cs="Calibri"/>
                <w:color w:val="000000"/>
                <w:sz w:val="20"/>
                <w:szCs w:val="20"/>
              </w:rPr>
              <w:t>)</w:t>
            </w:r>
          </w:p>
        </w:tc>
        <w:tc>
          <w:tcPr>
            <w:tcW w:w="266" w:type="dxa"/>
            <w:tcBorders>
              <w:top w:val="nil"/>
              <w:left w:val="nil"/>
              <w:bottom w:val="nil"/>
              <w:right w:val="nil"/>
            </w:tcBorders>
            <w:shd w:val="clear" w:color="000000" w:fill="FFFFFF"/>
            <w:noWrap/>
            <w:vAlign w:val="bottom"/>
            <w:hideMark/>
          </w:tcPr>
          <w:p w14:paraId="00140E96" w14:textId="5498E889"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1C8050EF" w14:textId="0EB44B9E"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(32</w:t>
            </w:r>
            <w:r w:rsidR="005E46E0">
              <w:rPr>
                <w:rFonts w:ascii="Aptos" w:hAnsi="Aptos" w:cs="Calibri"/>
                <w:color w:val="000000"/>
                <w:sz w:val="20"/>
                <w:szCs w:val="20"/>
                <w:lang w:val="en-US"/>
              </w:rPr>
              <w:t>.</w:t>
            </w:r>
            <w:r w:rsidRPr="00C76A39">
              <w:rPr>
                <w:rFonts w:ascii="Aptos" w:hAnsi="Aptos" w:cs="Calibri"/>
                <w:color w:val="000000"/>
                <w:sz w:val="20"/>
                <w:szCs w:val="20"/>
              </w:rPr>
              <w:t>985)</w:t>
            </w:r>
          </w:p>
        </w:tc>
      </w:tr>
      <w:tr w:rsidR="00935E6D" w:rsidRPr="00BE5E19" w14:paraId="3D3DFFA6" w14:textId="77777777" w:rsidTr="008B4D81">
        <w:trPr>
          <w:trHeight w:val="300"/>
        </w:trPr>
        <w:tc>
          <w:tcPr>
            <w:tcW w:w="6292" w:type="dxa"/>
            <w:tcBorders>
              <w:top w:val="nil"/>
              <w:left w:val="nil"/>
              <w:bottom w:val="nil"/>
              <w:right w:val="nil"/>
            </w:tcBorders>
            <w:shd w:val="clear" w:color="000000" w:fill="FFFFFF"/>
            <w:noWrap/>
            <w:vAlign w:val="center"/>
            <w:hideMark/>
          </w:tcPr>
          <w:p w14:paraId="7C559F50" w14:textId="4AE5B3CF" w:rsidR="00935E6D" w:rsidRPr="00C76A39" w:rsidRDefault="00935E6D" w:rsidP="005E0EB8">
            <w:pPr>
              <w:spacing w:after="0" w:line="240" w:lineRule="auto"/>
              <w:jc w:val="both"/>
              <w:rPr>
                <w:rFonts w:ascii="Aptos" w:eastAsia="Times New Roman" w:hAnsi="Aptos"/>
                <w:b/>
                <w:bCs/>
                <w:sz w:val="20"/>
                <w:szCs w:val="20"/>
                <w:lang w:val="en-GB" w:eastAsia="el-GR"/>
              </w:rPr>
            </w:pPr>
            <w:r w:rsidRPr="00734618">
              <w:rPr>
                <w:b/>
                <w:color w:val="000000"/>
                <w:sz w:val="20"/>
                <w:szCs w:val="20"/>
              </w:rPr>
              <w:t>Καθαρά χρηματοοικονομικά έξοδα</w:t>
            </w:r>
          </w:p>
        </w:tc>
        <w:tc>
          <w:tcPr>
            <w:tcW w:w="1850" w:type="dxa"/>
            <w:tcBorders>
              <w:top w:val="single" w:sz="4" w:space="0" w:color="auto"/>
              <w:left w:val="nil"/>
              <w:bottom w:val="single" w:sz="4" w:space="0" w:color="auto"/>
              <w:right w:val="nil"/>
            </w:tcBorders>
            <w:shd w:val="clear" w:color="auto" w:fill="E2EFD9"/>
            <w:noWrap/>
            <w:vAlign w:val="bottom"/>
          </w:tcPr>
          <w:p w14:paraId="7BCDAAFC" w14:textId="2894C356"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(21</w:t>
            </w:r>
            <w:r w:rsidR="005E46E0">
              <w:rPr>
                <w:rFonts w:ascii="Aptos" w:hAnsi="Aptos" w:cs="Calibri"/>
                <w:b/>
                <w:bCs/>
                <w:color w:val="000000"/>
                <w:sz w:val="20"/>
                <w:szCs w:val="20"/>
                <w:lang w:val="en-US"/>
              </w:rPr>
              <w:t>.</w:t>
            </w:r>
            <w:r w:rsidRPr="00C76A39">
              <w:rPr>
                <w:rFonts w:ascii="Aptos" w:hAnsi="Aptos" w:cs="Calibri"/>
                <w:b/>
                <w:bCs/>
                <w:color w:val="000000"/>
                <w:sz w:val="20"/>
                <w:szCs w:val="20"/>
              </w:rPr>
              <w:t>940)</w:t>
            </w:r>
          </w:p>
        </w:tc>
        <w:tc>
          <w:tcPr>
            <w:tcW w:w="266" w:type="dxa"/>
            <w:tcBorders>
              <w:top w:val="nil"/>
              <w:left w:val="nil"/>
              <w:bottom w:val="nil"/>
              <w:right w:val="nil"/>
            </w:tcBorders>
            <w:shd w:val="clear" w:color="000000" w:fill="FFFFFF"/>
            <w:noWrap/>
            <w:vAlign w:val="bottom"/>
            <w:hideMark/>
          </w:tcPr>
          <w:p w14:paraId="1C257E1C" w14:textId="41E68CCF"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single" w:sz="4" w:space="0" w:color="auto"/>
              <w:left w:val="nil"/>
              <w:bottom w:val="single" w:sz="4" w:space="0" w:color="auto"/>
              <w:right w:val="nil"/>
            </w:tcBorders>
            <w:shd w:val="clear" w:color="000000" w:fill="FFFFFF"/>
            <w:noWrap/>
            <w:vAlign w:val="bottom"/>
            <w:hideMark/>
          </w:tcPr>
          <w:p w14:paraId="6563B5B0" w14:textId="7C78C4AD"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(29</w:t>
            </w:r>
            <w:r w:rsidR="005E46E0">
              <w:rPr>
                <w:rFonts w:ascii="Aptos" w:hAnsi="Aptos" w:cs="Calibri"/>
                <w:b/>
                <w:bCs/>
                <w:color w:val="000000"/>
                <w:sz w:val="20"/>
                <w:szCs w:val="20"/>
                <w:lang w:val="en-US"/>
              </w:rPr>
              <w:t>.</w:t>
            </w:r>
            <w:r w:rsidRPr="00C76A39">
              <w:rPr>
                <w:rFonts w:ascii="Aptos" w:hAnsi="Aptos" w:cs="Calibri"/>
                <w:b/>
                <w:bCs/>
                <w:color w:val="000000"/>
                <w:sz w:val="20"/>
                <w:szCs w:val="20"/>
              </w:rPr>
              <w:t>300)</w:t>
            </w:r>
          </w:p>
        </w:tc>
      </w:tr>
      <w:tr w:rsidR="00935E6D" w:rsidRPr="00BE5E19" w14:paraId="70204027" w14:textId="77777777" w:rsidTr="008B4D81">
        <w:trPr>
          <w:trHeight w:val="300"/>
        </w:trPr>
        <w:tc>
          <w:tcPr>
            <w:tcW w:w="6292" w:type="dxa"/>
            <w:tcBorders>
              <w:top w:val="nil"/>
              <w:left w:val="nil"/>
              <w:bottom w:val="nil"/>
              <w:right w:val="nil"/>
            </w:tcBorders>
            <w:shd w:val="clear" w:color="000000" w:fill="FFFFFF"/>
            <w:noWrap/>
            <w:vAlign w:val="center"/>
            <w:hideMark/>
          </w:tcPr>
          <w:p w14:paraId="0E854D90" w14:textId="6E7A851D" w:rsidR="00935E6D" w:rsidRPr="00935E6D" w:rsidRDefault="00935E6D" w:rsidP="005E0EB8">
            <w:pPr>
              <w:spacing w:after="0" w:line="240" w:lineRule="auto"/>
              <w:jc w:val="both"/>
              <w:rPr>
                <w:rFonts w:ascii="Aptos" w:eastAsia="Times New Roman" w:hAnsi="Aptos"/>
                <w:sz w:val="20"/>
                <w:szCs w:val="20"/>
                <w:lang w:eastAsia="el-GR"/>
              </w:rPr>
            </w:pPr>
            <w:r w:rsidRPr="00734618">
              <w:rPr>
                <w:color w:val="000000"/>
                <w:sz w:val="20"/>
                <w:szCs w:val="20"/>
              </w:rPr>
              <w:t>Κέρδη από συγγενείς επιχειρήσεις, καθαρά από φόρους</w:t>
            </w:r>
          </w:p>
        </w:tc>
        <w:tc>
          <w:tcPr>
            <w:tcW w:w="1850" w:type="dxa"/>
            <w:tcBorders>
              <w:top w:val="nil"/>
              <w:left w:val="nil"/>
              <w:bottom w:val="nil"/>
              <w:right w:val="nil"/>
            </w:tcBorders>
            <w:shd w:val="clear" w:color="auto" w:fill="E2EFD9"/>
            <w:noWrap/>
            <w:vAlign w:val="bottom"/>
          </w:tcPr>
          <w:p w14:paraId="2AFD4104" w14:textId="78A18DF9"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713</w:t>
            </w:r>
          </w:p>
        </w:tc>
        <w:tc>
          <w:tcPr>
            <w:tcW w:w="266" w:type="dxa"/>
            <w:tcBorders>
              <w:top w:val="nil"/>
              <w:left w:val="nil"/>
              <w:bottom w:val="nil"/>
              <w:right w:val="nil"/>
            </w:tcBorders>
            <w:shd w:val="clear" w:color="000000" w:fill="FFFFFF"/>
            <w:noWrap/>
            <w:vAlign w:val="bottom"/>
            <w:hideMark/>
          </w:tcPr>
          <w:p w14:paraId="50B3F6AA" w14:textId="707800E7"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230ACB26" w14:textId="60792F5D"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r w:rsidR="005E46E0">
              <w:rPr>
                <w:rFonts w:ascii="Aptos" w:hAnsi="Aptos" w:cs="Calibri"/>
                <w:color w:val="000000"/>
                <w:sz w:val="20"/>
                <w:szCs w:val="20"/>
                <w:lang w:val="en-US"/>
              </w:rPr>
              <w:t>.</w:t>
            </w:r>
            <w:r w:rsidRPr="00C76A39">
              <w:rPr>
                <w:rFonts w:ascii="Aptos" w:hAnsi="Aptos" w:cs="Calibri"/>
                <w:color w:val="000000"/>
                <w:sz w:val="20"/>
                <w:szCs w:val="20"/>
              </w:rPr>
              <w:t>484</w:t>
            </w:r>
          </w:p>
        </w:tc>
      </w:tr>
      <w:tr w:rsidR="00935E6D" w:rsidRPr="00BE5E19" w14:paraId="71E44542" w14:textId="77777777" w:rsidTr="008B4D81">
        <w:trPr>
          <w:trHeight w:val="300"/>
        </w:trPr>
        <w:tc>
          <w:tcPr>
            <w:tcW w:w="6292" w:type="dxa"/>
            <w:tcBorders>
              <w:top w:val="nil"/>
              <w:left w:val="nil"/>
              <w:bottom w:val="nil"/>
              <w:right w:val="nil"/>
            </w:tcBorders>
            <w:shd w:val="clear" w:color="000000" w:fill="FFFFFF"/>
            <w:noWrap/>
            <w:vAlign w:val="center"/>
            <w:hideMark/>
          </w:tcPr>
          <w:p w14:paraId="2049FFB9" w14:textId="6DD5ECD7" w:rsidR="00935E6D" w:rsidRPr="00C76A39" w:rsidRDefault="00935E6D" w:rsidP="005E0EB8">
            <w:pPr>
              <w:spacing w:after="0" w:line="240" w:lineRule="auto"/>
              <w:jc w:val="both"/>
              <w:rPr>
                <w:rFonts w:ascii="Aptos" w:eastAsia="Times New Roman" w:hAnsi="Aptos"/>
                <w:b/>
                <w:bCs/>
                <w:sz w:val="20"/>
                <w:szCs w:val="20"/>
                <w:lang w:val="en-GB" w:eastAsia="el-GR"/>
              </w:rPr>
            </w:pPr>
            <w:r w:rsidRPr="00734618">
              <w:rPr>
                <w:b/>
                <w:color w:val="000000"/>
                <w:sz w:val="20"/>
                <w:szCs w:val="20"/>
              </w:rPr>
              <w:t>Κέρδη προ φόρων</w:t>
            </w:r>
          </w:p>
        </w:tc>
        <w:tc>
          <w:tcPr>
            <w:tcW w:w="1850" w:type="dxa"/>
            <w:tcBorders>
              <w:top w:val="single" w:sz="4" w:space="0" w:color="auto"/>
              <w:left w:val="nil"/>
              <w:bottom w:val="single" w:sz="4" w:space="0" w:color="auto"/>
              <w:right w:val="nil"/>
            </w:tcBorders>
            <w:shd w:val="clear" w:color="auto" w:fill="E2EFD9"/>
            <w:noWrap/>
            <w:vAlign w:val="bottom"/>
          </w:tcPr>
          <w:p w14:paraId="51E410E1" w14:textId="6F7E865D"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177</w:t>
            </w:r>
            <w:r w:rsidR="005E46E0">
              <w:rPr>
                <w:rFonts w:ascii="Aptos" w:hAnsi="Aptos" w:cs="Calibri"/>
                <w:b/>
                <w:bCs/>
                <w:color w:val="000000"/>
                <w:sz w:val="20"/>
                <w:szCs w:val="20"/>
                <w:lang w:val="en-US"/>
              </w:rPr>
              <w:t>.</w:t>
            </w:r>
            <w:r w:rsidRPr="00C76A39">
              <w:rPr>
                <w:rFonts w:ascii="Aptos" w:hAnsi="Aptos" w:cs="Calibri"/>
                <w:b/>
                <w:bCs/>
                <w:color w:val="000000"/>
                <w:sz w:val="20"/>
                <w:szCs w:val="20"/>
              </w:rPr>
              <w:t>006</w:t>
            </w:r>
          </w:p>
        </w:tc>
        <w:tc>
          <w:tcPr>
            <w:tcW w:w="266" w:type="dxa"/>
            <w:tcBorders>
              <w:top w:val="nil"/>
              <w:left w:val="nil"/>
              <w:bottom w:val="nil"/>
              <w:right w:val="nil"/>
            </w:tcBorders>
            <w:shd w:val="clear" w:color="000000" w:fill="FFFFFF"/>
            <w:noWrap/>
            <w:vAlign w:val="bottom"/>
            <w:hideMark/>
          </w:tcPr>
          <w:p w14:paraId="35687C2E" w14:textId="42D85EB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single" w:sz="4" w:space="0" w:color="auto"/>
              <w:left w:val="nil"/>
              <w:bottom w:val="single" w:sz="4" w:space="0" w:color="auto"/>
              <w:right w:val="nil"/>
            </w:tcBorders>
            <w:shd w:val="clear" w:color="000000" w:fill="FFFFFF"/>
            <w:noWrap/>
            <w:vAlign w:val="bottom"/>
            <w:hideMark/>
          </w:tcPr>
          <w:p w14:paraId="0470AE88" w14:textId="364F4F22"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123</w:t>
            </w:r>
            <w:r w:rsidR="005E46E0">
              <w:rPr>
                <w:rFonts w:ascii="Aptos" w:hAnsi="Aptos" w:cs="Calibri"/>
                <w:b/>
                <w:bCs/>
                <w:color w:val="000000"/>
                <w:sz w:val="20"/>
                <w:szCs w:val="20"/>
                <w:lang w:val="en-US"/>
              </w:rPr>
              <w:t>.</w:t>
            </w:r>
            <w:r w:rsidRPr="00C76A39">
              <w:rPr>
                <w:rFonts w:ascii="Aptos" w:hAnsi="Aptos" w:cs="Calibri"/>
                <w:b/>
                <w:bCs/>
                <w:color w:val="000000"/>
                <w:sz w:val="20"/>
                <w:szCs w:val="20"/>
              </w:rPr>
              <w:t>550</w:t>
            </w:r>
          </w:p>
        </w:tc>
      </w:tr>
      <w:tr w:rsidR="00935E6D" w:rsidRPr="00BE5E19" w14:paraId="09A5F674" w14:textId="77777777" w:rsidTr="008B4D81">
        <w:trPr>
          <w:trHeight w:val="300"/>
        </w:trPr>
        <w:tc>
          <w:tcPr>
            <w:tcW w:w="6292" w:type="dxa"/>
            <w:tcBorders>
              <w:top w:val="nil"/>
              <w:left w:val="nil"/>
              <w:bottom w:val="nil"/>
              <w:right w:val="nil"/>
            </w:tcBorders>
            <w:shd w:val="clear" w:color="000000" w:fill="FFFFFF"/>
            <w:noWrap/>
            <w:vAlign w:val="center"/>
            <w:hideMark/>
          </w:tcPr>
          <w:p w14:paraId="5D41FB79" w14:textId="6EC3A691" w:rsidR="00935E6D" w:rsidRPr="00C76A39" w:rsidRDefault="00935E6D" w:rsidP="005E0EB8">
            <w:pPr>
              <w:spacing w:after="0" w:line="240" w:lineRule="auto"/>
              <w:jc w:val="both"/>
              <w:rPr>
                <w:rFonts w:ascii="Aptos" w:eastAsia="Times New Roman" w:hAnsi="Aptos"/>
                <w:sz w:val="20"/>
                <w:szCs w:val="20"/>
                <w:lang w:val="en-GB" w:eastAsia="el-GR"/>
              </w:rPr>
            </w:pPr>
            <w:r w:rsidRPr="00734618">
              <w:rPr>
                <w:color w:val="000000"/>
                <w:sz w:val="20"/>
                <w:szCs w:val="20"/>
              </w:rPr>
              <w:t xml:space="preserve">Φόρος εισοδήματος </w:t>
            </w:r>
          </w:p>
        </w:tc>
        <w:tc>
          <w:tcPr>
            <w:tcW w:w="1850" w:type="dxa"/>
            <w:tcBorders>
              <w:top w:val="nil"/>
              <w:left w:val="nil"/>
              <w:bottom w:val="nil"/>
              <w:right w:val="nil"/>
            </w:tcBorders>
            <w:shd w:val="clear" w:color="auto" w:fill="E2EFD9"/>
            <w:noWrap/>
            <w:vAlign w:val="bottom"/>
          </w:tcPr>
          <w:p w14:paraId="47592C98" w14:textId="5F5C146F"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(39</w:t>
            </w:r>
            <w:r w:rsidR="005E46E0">
              <w:rPr>
                <w:rFonts w:ascii="Aptos" w:hAnsi="Aptos" w:cs="Calibri"/>
                <w:color w:val="000000"/>
                <w:sz w:val="20"/>
                <w:szCs w:val="20"/>
                <w:lang w:val="en-US"/>
              </w:rPr>
              <w:t>.</w:t>
            </w:r>
            <w:r w:rsidRPr="00C76A39">
              <w:rPr>
                <w:rFonts w:ascii="Aptos" w:hAnsi="Aptos" w:cs="Calibri"/>
                <w:color w:val="000000"/>
                <w:sz w:val="20"/>
                <w:szCs w:val="20"/>
              </w:rPr>
              <w:t>195)</w:t>
            </w:r>
          </w:p>
        </w:tc>
        <w:tc>
          <w:tcPr>
            <w:tcW w:w="266" w:type="dxa"/>
            <w:tcBorders>
              <w:top w:val="nil"/>
              <w:left w:val="nil"/>
              <w:bottom w:val="nil"/>
              <w:right w:val="nil"/>
            </w:tcBorders>
            <w:shd w:val="clear" w:color="000000" w:fill="FFFFFF"/>
            <w:noWrap/>
            <w:vAlign w:val="bottom"/>
            <w:hideMark/>
          </w:tcPr>
          <w:p w14:paraId="4310A2AD" w14:textId="54051783"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703DB06B" w14:textId="3BE9885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(28</w:t>
            </w:r>
            <w:r w:rsidR="005E46E0">
              <w:rPr>
                <w:rFonts w:ascii="Aptos" w:hAnsi="Aptos" w:cs="Calibri"/>
                <w:color w:val="000000"/>
                <w:sz w:val="20"/>
                <w:szCs w:val="20"/>
                <w:lang w:val="en-US"/>
              </w:rPr>
              <w:t>.</w:t>
            </w:r>
            <w:r w:rsidRPr="00C76A39">
              <w:rPr>
                <w:rFonts w:ascii="Aptos" w:hAnsi="Aptos" w:cs="Calibri"/>
                <w:color w:val="000000"/>
                <w:sz w:val="20"/>
                <w:szCs w:val="20"/>
              </w:rPr>
              <w:t>294)</w:t>
            </w:r>
          </w:p>
        </w:tc>
      </w:tr>
      <w:tr w:rsidR="00935E6D" w:rsidRPr="00BE5E19" w14:paraId="66DC59DE" w14:textId="77777777" w:rsidTr="008B4D81">
        <w:trPr>
          <w:trHeight w:val="315"/>
        </w:trPr>
        <w:tc>
          <w:tcPr>
            <w:tcW w:w="6292" w:type="dxa"/>
            <w:tcBorders>
              <w:top w:val="nil"/>
              <w:left w:val="nil"/>
              <w:bottom w:val="nil"/>
              <w:right w:val="nil"/>
            </w:tcBorders>
            <w:shd w:val="clear" w:color="000000" w:fill="FFFFFF"/>
            <w:vAlign w:val="center"/>
            <w:hideMark/>
          </w:tcPr>
          <w:p w14:paraId="3EEC841A" w14:textId="60D2DA13" w:rsidR="00935E6D" w:rsidRPr="00C76A39" w:rsidRDefault="00935E6D" w:rsidP="005E0EB8">
            <w:pPr>
              <w:spacing w:after="0" w:line="240" w:lineRule="auto"/>
              <w:jc w:val="both"/>
              <w:rPr>
                <w:rFonts w:ascii="Aptos" w:eastAsia="Times New Roman" w:hAnsi="Aptos"/>
                <w:b/>
                <w:bCs/>
                <w:sz w:val="20"/>
                <w:szCs w:val="20"/>
                <w:lang w:val="en-GB" w:eastAsia="el-GR"/>
              </w:rPr>
            </w:pPr>
            <w:r w:rsidRPr="00734618">
              <w:rPr>
                <w:b/>
                <w:color w:val="000000"/>
                <w:sz w:val="20"/>
                <w:szCs w:val="20"/>
              </w:rPr>
              <w:t>Κέρδη περιόδου</w:t>
            </w:r>
          </w:p>
        </w:tc>
        <w:tc>
          <w:tcPr>
            <w:tcW w:w="1850" w:type="dxa"/>
            <w:tcBorders>
              <w:top w:val="single" w:sz="4" w:space="0" w:color="auto"/>
              <w:left w:val="nil"/>
              <w:bottom w:val="single" w:sz="8" w:space="0" w:color="auto"/>
              <w:right w:val="nil"/>
            </w:tcBorders>
            <w:shd w:val="clear" w:color="auto" w:fill="E2EFD9"/>
            <w:noWrap/>
            <w:vAlign w:val="bottom"/>
          </w:tcPr>
          <w:p w14:paraId="1294A99F" w14:textId="1CD62AB2"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137</w:t>
            </w:r>
            <w:r w:rsidR="005E46E0">
              <w:rPr>
                <w:rFonts w:ascii="Aptos" w:hAnsi="Aptos" w:cs="Calibri"/>
                <w:b/>
                <w:bCs/>
                <w:color w:val="000000"/>
                <w:sz w:val="20"/>
                <w:szCs w:val="20"/>
                <w:lang w:val="en-US"/>
              </w:rPr>
              <w:t>.</w:t>
            </w:r>
            <w:r w:rsidRPr="00C76A39">
              <w:rPr>
                <w:rFonts w:ascii="Aptos" w:hAnsi="Aptos" w:cs="Calibri"/>
                <w:b/>
                <w:bCs/>
                <w:color w:val="000000"/>
                <w:sz w:val="20"/>
                <w:szCs w:val="20"/>
              </w:rPr>
              <w:t>811</w:t>
            </w:r>
          </w:p>
        </w:tc>
        <w:tc>
          <w:tcPr>
            <w:tcW w:w="266" w:type="dxa"/>
            <w:tcBorders>
              <w:top w:val="nil"/>
              <w:left w:val="nil"/>
              <w:bottom w:val="nil"/>
              <w:right w:val="nil"/>
            </w:tcBorders>
            <w:shd w:val="clear" w:color="000000" w:fill="FFFFFF"/>
            <w:noWrap/>
            <w:vAlign w:val="bottom"/>
            <w:hideMark/>
          </w:tcPr>
          <w:p w14:paraId="6C3BF9DF" w14:textId="3CCC8972"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 </w:t>
            </w:r>
          </w:p>
        </w:tc>
        <w:tc>
          <w:tcPr>
            <w:tcW w:w="1725" w:type="dxa"/>
            <w:tcBorders>
              <w:top w:val="single" w:sz="4" w:space="0" w:color="auto"/>
              <w:left w:val="nil"/>
              <w:bottom w:val="single" w:sz="8" w:space="0" w:color="auto"/>
              <w:right w:val="nil"/>
            </w:tcBorders>
            <w:shd w:val="clear" w:color="000000" w:fill="FFFFFF"/>
            <w:noWrap/>
            <w:vAlign w:val="bottom"/>
            <w:hideMark/>
          </w:tcPr>
          <w:p w14:paraId="53EDDA4B" w14:textId="0BC337DD" w:rsidR="00935E6D" w:rsidRPr="00C76A39" w:rsidRDefault="00935E6D"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95</w:t>
            </w:r>
            <w:r w:rsidR="005E46E0">
              <w:rPr>
                <w:rFonts w:ascii="Aptos" w:hAnsi="Aptos" w:cs="Calibri"/>
                <w:b/>
                <w:bCs/>
                <w:color w:val="000000"/>
                <w:sz w:val="20"/>
                <w:szCs w:val="20"/>
                <w:lang w:val="en-US"/>
              </w:rPr>
              <w:t>.</w:t>
            </w:r>
            <w:r w:rsidRPr="00C76A39">
              <w:rPr>
                <w:rFonts w:ascii="Aptos" w:hAnsi="Aptos" w:cs="Calibri"/>
                <w:b/>
                <w:bCs/>
                <w:color w:val="000000"/>
                <w:sz w:val="20"/>
                <w:szCs w:val="20"/>
              </w:rPr>
              <w:t>256</w:t>
            </w:r>
          </w:p>
        </w:tc>
      </w:tr>
      <w:tr w:rsidR="00935E6D" w:rsidRPr="00BE5E19" w14:paraId="36F83095" w14:textId="77777777" w:rsidTr="001A12E5">
        <w:trPr>
          <w:trHeight w:val="300"/>
        </w:trPr>
        <w:tc>
          <w:tcPr>
            <w:tcW w:w="6292" w:type="dxa"/>
            <w:tcBorders>
              <w:top w:val="nil"/>
              <w:left w:val="nil"/>
              <w:bottom w:val="nil"/>
              <w:right w:val="nil"/>
            </w:tcBorders>
            <w:shd w:val="clear" w:color="000000" w:fill="FFFFFF"/>
            <w:vAlign w:val="center"/>
          </w:tcPr>
          <w:p w14:paraId="61EB0434" w14:textId="77777777" w:rsidR="00935E6D" w:rsidRPr="00C76A39" w:rsidRDefault="00935E6D" w:rsidP="005E0EB8">
            <w:pPr>
              <w:spacing w:after="0" w:line="240" w:lineRule="auto"/>
              <w:jc w:val="both"/>
              <w:rPr>
                <w:rFonts w:ascii="Aptos" w:eastAsia="Times New Roman" w:hAnsi="Aptos"/>
                <w:b/>
                <w:bCs/>
                <w:color w:val="000000"/>
                <w:sz w:val="20"/>
                <w:szCs w:val="20"/>
                <w:lang w:val="en-GB" w:eastAsia="el-GR"/>
              </w:rPr>
            </w:pPr>
          </w:p>
        </w:tc>
        <w:tc>
          <w:tcPr>
            <w:tcW w:w="1850" w:type="dxa"/>
            <w:tcBorders>
              <w:top w:val="nil"/>
              <w:left w:val="nil"/>
              <w:bottom w:val="nil"/>
              <w:right w:val="nil"/>
            </w:tcBorders>
            <w:shd w:val="clear" w:color="auto" w:fill="E2EFD9"/>
            <w:noWrap/>
            <w:vAlign w:val="bottom"/>
          </w:tcPr>
          <w:p w14:paraId="100D3CB3" w14:textId="28BCF08E" w:rsidR="00935E6D" w:rsidRPr="00C76A39" w:rsidRDefault="00935E6D" w:rsidP="005E0EB8">
            <w:pPr>
              <w:spacing w:after="0" w:line="240" w:lineRule="auto"/>
              <w:rPr>
                <w:rFonts w:ascii="Aptos" w:hAnsi="Aptos" w:cs="Calibri"/>
                <w:color w:val="000000"/>
                <w:sz w:val="20"/>
                <w:szCs w:val="20"/>
                <w:lang w:val="en-GB"/>
              </w:rPr>
            </w:pPr>
            <w:r w:rsidRPr="00C76A39">
              <w:rPr>
                <w:rFonts w:ascii="Aptos" w:hAnsi="Aptos" w:cs="Calibri"/>
                <w:b/>
                <w:bCs/>
                <w:color w:val="000000"/>
                <w:sz w:val="20"/>
                <w:szCs w:val="20"/>
              </w:rPr>
              <w:t> </w:t>
            </w:r>
          </w:p>
        </w:tc>
        <w:tc>
          <w:tcPr>
            <w:tcW w:w="266" w:type="dxa"/>
            <w:tcBorders>
              <w:top w:val="nil"/>
              <w:left w:val="nil"/>
              <w:bottom w:val="nil"/>
              <w:right w:val="nil"/>
            </w:tcBorders>
            <w:noWrap/>
            <w:vAlign w:val="bottom"/>
          </w:tcPr>
          <w:p w14:paraId="66DE5187" w14:textId="5C95C929"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b/>
                <w:bCs/>
                <w:color w:val="000000"/>
                <w:sz w:val="20"/>
                <w:szCs w:val="20"/>
              </w:rPr>
              <w:t> </w:t>
            </w:r>
          </w:p>
        </w:tc>
        <w:tc>
          <w:tcPr>
            <w:tcW w:w="1725" w:type="dxa"/>
            <w:tcBorders>
              <w:top w:val="nil"/>
              <w:left w:val="nil"/>
              <w:bottom w:val="nil"/>
              <w:right w:val="nil"/>
            </w:tcBorders>
            <w:shd w:val="clear" w:color="000000" w:fill="FFFFFF"/>
            <w:noWrap/>
            <w:vAlign w:val="bottom"/>
          </w:tcPr>
          <w:p w14:paraId="79EA9237" w14:textId="019AAB46"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b/>
                <w:bCs/>
                <w:color w:val="000000"/>
                <w:sz w:val="20"/>
                <w:szCs w:val="20"/>
              </w:rPr>
              <w:t> </w:t>
            </w:r>
          </w:p>
        </w:tc>
      </w:tr>
      <w:tr w:rsidR="00935E6D" w:rsidRPr="00BE5E19" w14:paraId="79665169" w14:textId="77777777" w:rsidTr="001A12E5">
        <w:trPr>
          <w:trHeight w:val="300"/>
        </w:trPr>
        <w:tc>
          <w:tcPr>
            <w:tcW w:w="6292" w:type="dxa"/>
            <w:tcBorders>
              <w:top w:val="nil"/>
              <w:left w:val="nil"/>
              <w:bottom w:val="nil"/>
              <w:right w:val="nil"/>
            </w:tcBorders>
            <w:shd w:val="clear" w:color="000000" w:fill="FFFFFF"/>
            <w:vAlign w:val="center"/>
            <w:hideMark/>
          </w:tcPr>
          <w:p w14:paraId="2E7085B2" w14:textId="1BD93269" w:rsidR="00935E6D" w:rsidRPr="00C76A39" w:rsidRDefault="00935E6D" w:rsidP="005E0EB8">
            <w:pPr>
              <w:spacing w:after="0" w:line="240" w:lineRule="auto"/>
              <w:jc w:val="both"/>
              <w:rPr>
                <w:rFonts w:ascii="Aptos" w:eastAsia="Times New Roman" w:hAnsi="Aptos"/>
                <w:b/>
                <w:bCs/>
                <w:color w:val="000000"/>
                <w:sz w:val="20"/>
                <w:szCs w:val="20"/>
                <w:lang w:val="en-GB" w:eastAsia="el-GR"/>
              </w:rPr>
            </w:pPr>
            <w:r w:rsidRPr="00734618">
              <w:rPr>
                <w:b/>
                <w:color w:val="000000"/>
                <w:sz w:val="20"/>
                <w:szCs w:val="20"/>
              </w:rPr>
              <w:t>Κέρδη</w:t>
            </w:r>
            <w:r>
              <w:rPr>
                <w:b/>
                <w:color w:val="000000"/>
                <w:sz w:val="20"/>
                <w:szCs w:val="20"/>
                <w:lang w:val="en-US"/>
              </w:rPr>
              <w:t xml:space="preserve"> </w:t>
            </w:r>
            <w:r w:rsidRPr="00734618">
              <w:rPr>
                <w:b/>
                <w:color w:val="000000"/>
                <w:sz w:val="20"/>
                <w:szCs w:val="20"/>
              </w:rPr>
              <w:t>αποδιδόμενα σε:</w:t>
            </w:r>
          </w:p>
        </w:tc>
        <w:tc>
          <w:tcPr>
            <w:tcW w:w="1850" w:type="dxa"/>
            <w:tcBorders>
              <w:top w:val="nil"/>
              <w:left w:val="nil"/>
              <w:bottom w:val="nil"/>
              <w:right w:val="nil"/>
            </w:tcBorders>
            <w:shd w:val="clear" w:color="auto" w:fill="E2EFD9"/>
            <w:noWrap/>
            <w:vAlign w:val="bottom"/>
          </w:tcPr>
          <w:p w14:paraId="2DC5D4A8" w14:textId="0E53D268" w:rsidR="00935E6D" w:rsidRPr="00C76A39" w:rsidRDefault="00935E6D" w:rsidP="005E0EB8">
            <w:pPr>
              <w:spacing w:after="0" w:line="240" w:lineRule="auto"/>
              <w:rPr>
                <w:rFonts w:ascii="Aptos" w:hAnsi="Aptos" w:cs="Calibri"/>
                <w:color w:val="000000"/>
                <w:sz w:val="20"/>
                <w:szCs w:val="20"/>
                <w:lang w:val="en-GB"/>
              </w:rPr>
            </w:pPr>
            <w:r w:rsidRPr="00C76A39">
              <w:rPr>
                <w:rFonts w:ascii="Aptos" w:hAnsi="Aptos" w:cs="Calibri"/>
                <w:color w:val="000000"/>
                <w:sz w:val="20"/>
                <w:szCs w:val="20"/>
              </w:rPr>
              <w:t> </w:t>
            </w:r>
          </w:p>
        </w:tc>
        <w:tc>
          <w:tcPr>
            <w:tcW w:w="266" w:type="dxa"/>
            <w:tcBorders>
              <w:top w:val="nil"/>
              <w:left w:val="nil"/>
              <w:bottom w:val="nil"/>
              <w:right w:val="nil"/>
            </w:tcBorders>
            <w:noWrap/>
            <w:vAlign w:val="bottom"/>
            <w:hideMark/>
          </w:tcPr>
          <w:p w14:paraId="197C0674" w14:textId="26B7A080"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46104650" w14:textId="0B9021EE"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 </w:t>
            </w:r>
          </w:p>
        </w:tc>
      </w:tr>
      <w:tr w:rsidR="00935E6D" w:rsidRPr="00BE5E19" w14:paraId="15A76F72" w14:textId="77777777" w:rsidTr="001A12E5">
        <w:trPr>
          <w:trHeight w:val="300"/>
        </w:trPr>
        <w:tc>
          <w:tcPr>
            <w:tcW w:w="6292" w:type="dxa"/>
            <w:tcBorders>
              <w:top w:val="nil"/>
              <w:left w:val="nil"/>
              <w:bottom w:val="nil"/>
              <w:right w:val="nil"/>
            </w:tcBorders>
            <w:shd w:val="clear" w:color="000000" w:fill="FFFFFF"/>
            <w:vAlign w:val="center"/>
            <w:hideMark/>
          </w:tcPr>
          <w:p w14:paraId="654E2DFE" w14:textId="36E5E693" w:rsidR="00935E6D" w:rsidRPr="00C76A39" w:rsidRDefault="00935E6D" w:rsidP="005E0EB8">
            <w:pPr>
              <w:spacing w:after="0" w:line="240" w:lineRule="auto"/>
              <w:jc w:val="both"/>
              <w:rPr>
                <w:rFonts w:ascii="Aptos" w:eastAsia="Times New Roman" w:hAnsi="Aptos"/>
                <w:color w:val="000000"/>
                <w:sz w:val="20"/>
                <w:szCs w:val="20"/>
                <w:lang w:val="en-GB" w:eastAsia="el-GR"/>
              </w:rPr>
            </w:pPr>
            <w:r w:rsidRPr="00734618">
              <w:rPr>
                <w:color w:val="000000"/>
                <w:sz w:val="20"/>
                <w:szCs w:val="20"/>
              </w:rPr>
              <w:t>Μετόχους της Εταιρείας</w:t>
            </w:r>
          </w:p>
        </w:tc>
        <w:tc>
          <w:tcPr>
            <w:tcW w:w="1850" w:type="dxa"/>
            <w:tcBorders>
              <w:top w:val="nil"/>
              <w:left w:val="nil"/>
              <w:bottom w:val="nil"/>
              <w:right w:val="nil"/>
            </w:tcBorders>
            <w:shd w:val="clear" w:color="auto" w:fill="E2EFD9"/>
            <w:noWrap/>
            <w:vAlign w:val="bottom"/>
          </w:tcPr>
          <w:p w14:paraId="03474511" w14:textId="6C9FF902"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137</w:t>
            </w:r>
            <w:r w:rsidR="005E46E0">
              <w:rPr>
                <w:rFonts w:ascii="Aptos" w:hAnsi="Aptos" w:cs="Calibri"/>
                <w:color w:val="000000"/>
                <w:sz w:val="20"/>
                <w:szCs w:val="20"/>
                <w:lang w:val="en-US"/>
              </w:rPr>
              <w:t>.</w:t>
            </w:r>
            <w:r w:rsidRPr="00C76A39">
              <w:rPr>
                <w:rFonts w:ascii="Aptos" w:hAnsi="Aptos" w:cs="Calibri"/>
                <w:color w:val="000000"/>
                <w:sz w:val="20"/>
                <w:szCs w:val="20"/>
              </w:rPr>
              <w:t>810</w:t>
            </w:r>
          </w:p>
        </w:tc>
        <w:tc>
          <w:tcPr>
            <w:tcW w:w="266" w:type="dxa"/>
            <w:tcBorders>
              <w:top w:val="nil"/>
              <w:left w:val="nil"/>
              <w:bottom w:val="nil"/>
              <w:right w:val="nil"/>
            </w:tcBorders>
            <w:noWrap/>
            <w:vAlign w:val="bottom"/>
            <w:hideMark/>
          </w:tcPr>
          <w:p w14:paraId="60313DD8" w14:textId="58D490EC" w:rsidR="00935E6D" w:rsidRPr="00C76A39" w:rsidRDefault="00935E6D" w:rsidP="005E0EB8">
            <w:pPr>
              <w:spacing w:after="0" w:line="240" w:lineRule="auto"/>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5C1E68CD" w14:textId="2F53E861" w:rsidR="00935E6D" w:rsidRPr="00C76A39" w:rsidRDefault="00935E6D" w:rsidP="005E0EB8">
            <w:pPr>
              <w:spacing w:after="0" w:line="240" w:lineRule="auto"/>
              <w:jc w:val="right"/>
              <w:rPr>
                <w:rFonts w:ascii="Aptos" w:hAnsi="Aptos" w:cs="Calibri"/>
                <w:color w:val="000000"/>
                <w:sz w:val="20"/>
                <w:szCs w:val="20"/>
                <w:lang w:val="en-US"/>
              </w:rPr>
            </w:pPr>
            <w:r w:rsidRPr="00C76A39">
              <w:rPr>
                <w:rFonts w:ascii="Aptos" w:hAnsi="Aptos" w:cs="Calibri"/>
                <w:color w:val="000000"/>
                <w:sz w:val="20"/>
                <w:szCs w:val="20"/>
              </w:rPr>
              <w:t>95</w:t>
            </w:r>
            <w:r w:rsidR="005E46E0">
              <w:rPr>
                <w:rFonts w:ascii="Aptos" w:hAnsi="Aptos" w:cs="Calibri"/>
                <w:color w:val="000000"/>
                <w:sz w:val="20"/>
                <w:szCs w:val="20"/>
                <w:lang w:val="en-US"/>
              </w:rPr>
              <w:t>.</w:t>
            </w:r>
            <w:r w:rsidRPr="00C76A39">
              <w:rPr>
                <w:rFonts w:ascii="Aptos" w:hAnsi="Aptos" w:cs="Calibri"/>
                <w:color w:val="000000"/>
                <w:sz w:val="20"/>
                <w:szCs w:val="20"/>
              </w:rPr>
              <w:t>255</w:t>
            </w:r>
          </w:p>
        </w:tc>
      </w:tr>
      <w:tr w:rsidR="00935E6D" w:rsidRPr="00BE5E19" w14:paraId="42A304AF" w14:textId="77777777" w:rsidTr="001A12E5">
        <w:trPr>
          <w:trHeight w:val="300"/>
        </w:trPr>
        <w:tc>
          <w:tcPr>
            <w:tcW w:w="6292" w:type="dxa"/>
            <w:tcBorders>
              <w:top w:val="nil"/>
              <w:left w:val="nil"/>
              <w:bottom w:val="nil"/>
              <w:right w:val="nil"/>
            </w:tcBorders>
            <w:shd w:val="clear" w:color="000000" w:fill="FFFFFF"/>
            <w:vAlign w:val="center"/>
            <w:hideMark/>
          </w:tcPr>
          <w:p w14:paraId="536B1C43" w14:textId="12F8F4E4" w:rsidR="00935E6D" w:rsidRPr="00C76A39" w:rsidRDefault="00935E6D" w:rsidP="005E0EB8">
            <w:pPr>
              <w:spacing w:after="0" w:line="240" w:lineRule="auto"/>
              <w:jc w:val="both"/>
              <w:rPr>
                <w:rFonts w:ascii="Aptos" w:eastAsia="Times New Roman" w:hAnsi="Aptos"/>
                <w:color w:val="000000"/>
                <w:sz w:val="20"/>
                <w:szCs w:val="20"/>
                <w:lang w:val="en-GB" w:eastAsia="el-GR"/>
              </w:rPr>
            </w:pPr>
            <w:r w:rsidRPr="00734618">
              <w:rPr>
                <w:color w:val="000000"/>
                <w:sz w:val="20"/>
                <w:szCs w:val="20"/>
              </w:rPr>
              <w:t>Δικαιώματα μειοψηφίας</w:t>
            </w:r>
          </w:p>
        </w:tc>
        <w:tc>
          <w:tcPr>
            <w:tcW w:w="1850" w:type="dxa"/>
            <w:tcBorders>
              <w:top w:val="nil"/>
              <w:left w:val="nil"/>
              <w:bottom w:val="nil"/>
              <w:right w:val="nil"/>
            </w:tcBorders>
            <w:shd w:val="clear" w:color="auto" w:fill="E2EFD9"/>
            <w:noWrap/>
            <w:vAlign w:val="bottom"/>
          </w:tcPr>
          <w:p w14:paraId="4F282ADA" w14:textId="71DED195" w:rsidR="00935E6D" w:rsidRPr="00C76A39" w:rsidRDefault="00935E6D" w:rsidP="005E0EB8">
            <w:pPr>
              <w:spacing w:after="0" w:line="240" w:lineRule="auto"/>
              <w:jc w:val="right"/>
              <w:rPr>
                <w:rFonts w:ascii="Aptos" w:hAnsi="Aptos" w:cs="Calibri"/>
                <w:color w:val="000000"/>
                <w:sz w:val="20"/>
                <w:szCs w:val="20"/>
                <w:lang w:val="en-GB"/>
              </w:rPr>
            </w:pPr>
            <w:r w:rsidRPr="00C76A39">
              <w:rPr>
                <w:rFonts w:ascii="Aptos" w:hAnsi="Aptos" w:cs="Calibri"/>
                <w:color w:val="000000"/>
                <w:sz w:val="20"/>
                <w:szCs w:val="20"/>
              </w:rPr>
              <w:t>1</w:t>
            </w:r>
          </w:p>
        </w:tc>
        <w:tc>
          <w:tcPr>
            <w:tcW w:w="266" w:type="dxa"/>
            <w:tcBorders>
              <w:top w:val="nil"/>
              <w:left w:val="nil"/>
              <w:bottom w:val="nil"/>
              <w:right w:val="nil"/>
            </w:tcBorders>
            <w:noWrap/>
            <w:vAlign w:val="bottom"/>
            <w:hideMark/>
          </w:tcPr>
          <w:p w14:paraId="5300D858" w14:textId="76BCF134" w:rsidR="00935E6D" w:rsidRPr="00C76A39" w:rsidRDefault="00935E6D" w:rsidP="005E0EB8">
            <w:pPr>
              <w:spacing w:after="0" w:line="240" w:lineRule="auto"/>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nil"/>
              <w:left w:val="nil"/>
              <w:bottom w:val="nil"/>
              <w:right w:val="nil"/>
            </w:tcBorders>
            <w:shd w:val="clear" w:color="000000" w:fill="FFFFFF"/>
            <w:noWrap/>
            <w:vAlign w:val="bottom"/>
            <w:hideMark/>
          </w:tcPr>
          <w:p w14:paraId="62787811" w14:textId="759EE8CD" w:rsidR="00935E6D" w:rsidRPr="00C76A39" w:rsidRDefault="00935E6D" w:rsidP="005E0EB8">
            <w:pPr>
              <w:spacing w:after="0" w:line="240" w:lineRule="auto"/>
              <w:jc w:val="right"/>
              <w:rPr>
                <w:rFonts w:ascii="Aptos" w:hAnsi="Aptos" w:cs="Calibri"/>
                <w:color w:val="000000"/>
                <w:sz w:val="20"/>
                <w:szCs w:val="20"/>
                <w:lang w:val="en-US"/>
              </w:rPr>
            </w:pPr>
            <w:r w:rsidRPr="00C76A39">
              <w:rPr>
                <w:rFonts w:ascii="Aptos" w:hAnsi="Aptos" w:cs="Calibri"/>
                <w:color w:val="000000"/>
                <w:sz w:val="20"/>
                <w:szCs w:val="20"/>
              </w:rPr>
              <w:t>1</w:t>
            </w:r>
          </w:p>
        </w:tc>
      </w:tr>
      <w:tr w:rsidR="001C6742" w:rsidRPr="00BE5E19" w14:paraId="1A83C9AE" w14:textId="77777777" w:rsidTr="001A12E5">
        <w:trPr>
          <w:trHeight w:val="315"/>
        </w:trPr>
        <w:tc>
          <w:tcPr>
            <w:tcW w:w="6292" w:type="dxa"/>
            <w:tcBorders>
              <w:top w:val="nil"/>
              <w:left w:val="nil"/>
              <w:bottom w:val="nil"/>
              <w:right w:val="nil"/>
            </w:tcBorders>
            <w:shd w:val="clear" w:color="000000" w:fill="FFFFFF"/>
            <w:vAlign w:val="bottom"/>
            <w:hideMark/>
          </w:tcPr>
          <w:p w14:paraId="02F7859E" w14:textId="77777777" w:rsidR="001C6742" w:rsidRPr="00C76A39" w:rsidRDefault="001C6742" w:rsidP="005E0EB8">
            <w:pPr>
              <w:spacing w:after="0" w:line="240" w:lineRule="auto"/>
              <w:jc w:val="both"/>
              <w:rPr>
                <w:rFonts w:ascii="Aptos" w:eastAsia="Times New Roman" w:hAnsi="Aptos"/>
                <w:color w:val="000000"/>
                <w:sz w:val="20"/>
                <w:szCs w:val="20"/>
                <w:lang w:val="en-GB" w:eastAsia="el-GR"/>
              </w:rPr>
            </w:pPr>
          </w:p>
        </w:tc>
        <w:tc>
          <w:tcPr>
            <w:tcW w:w="1850" w:type="dxa"/>
            <w:tcBorders>
              <w:top w:val="single" w:sz="4" w:space="0" w:color="auto"/>
              <w:left w:val="nil"/>
              <w:bottom w:val="single" w:sz="8" w:space="0" w:color="auto"/>
              <w:right w:val="nil"/>
            </w:tcBorders>
            <w:shd w:val="clear" w:color="auto" w:fill="E2EFD9"/>
            <w:noWrap/>
            <w:vAlign w:val="bottom"/>
          </w:tcPr>
          <w:p w14:paraId="6CCDC248" w14:textId="11F38DB3" w:rsidR="001C6742" w:rsidRPr="00C76A39" w:rsidRDefault="001C6742"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137</w:t>
            </w:r>
            <w:r w:rsidR="005E46E0">
              <w:rPr>
                <w:rFonts w:ascii="Aptos" w:hAnsi="Aptos" w:cs="Calibri"/>
                <w:b/>
                <w:bCs/>
                <w:color w:val="000000"/>
                <w:sz w:val="20"/>
                <w:szCs w:val="20"/>
                <w:lang w:val="en-US"/>
              </w:rPr>
              <w:t>.</w:t>
            </w:r>
            <w:r w:rsidRPr="00C76A39">
              <w:rPr>
                <w:rFonts w:ascii="Aptos" w:hAnsi="Aptos" w:cs="Calibri"/>
                <w:b/>
                <w:bCs/>
                <w:color w:val="000000"/>
                <w:sz w:val="20"/>
                <w:szCs w:val="20"/>
              </w:rPr>
              <w:t>811</w:t>
            </w:r>
          </w:p>
        </w:tc>
        <w:tc>
          <w:tcPr>
            <w:tcW w:w="266" w:type="dxa"/>
            <w:tcBorders>
              <w:top w:val="nil"/>
              <w:left w:val="nil"/>
              <w:bottom w:val="nil"/>
              <w:right w:val="nil"/>
            </w:tcBorders>
            <w:noWrap/>
            <w:vAlign w:val="bottom"/>
            <w:hideMark/>
          </w:tcPr>
          <w:p w14:paraId="2CA333BA" w14:textId="121FDA3C" w:rsidR="001C6742" w:rsidRPr="00C76A39" w:rsidRDefault="001C6742" w:rsidP="005E0EB8">
            <w:pPr>
              <w:spacing w:after="0" w:line="240" w:lineRule="auto"/>
              <w:rPr>
                <w:rFonts w:ascii="Aptos" w:hAnsi="Aptos" w:cs="Calibri"/>
                <w:color w:val="000000"/>
                <w:sz w:val="20"/>
                <w:szCs w:val="20"/>
                <w:lang w:val="en-GB"/>
              </w:rPr>
            </w:pPr>
            <w:r w:rsidRPr="00C76A39">
              <w:rPr>
                <w:rFonts w:ascii="Aptos" w:hAnsi="Aptos" w:cs="Calibri"/>
                <w:color w:val="000000"/>
                <w:sz w:val="20"/>
                <w:szCs w:val="20"/>
              </w:rPr>
              <w:t> </w:t>
            </w:r>
          </w:p>
        </w:tc>
        <w:tc>
          <w:tcPr>
            <w:tcW w:w="1725" w:type="dxa"/>
            <w:tcBorders>
              <w:top w:val="single" w:sz="4" w:space="0" w:color="auto"/>
              <w:left w:val="nil"/>
              <w:bottom w:val="single" w:sz="8" w:space="0" w:color="auto"/>
              <w:right w:val="nil"/>
            </w:tcBorders>
            <w:shd w:val="clear" w:color="000000" w:fill="FFFFFF"/>
            <w:noWrap/>
            <w:vAlign w:val="bottom"/>
            <w:hideMark/>
          </w:tcPr>
          <w:p w14:paraId="0C0442CF" w14:textId="37A192A7" w:rsidR="001C6742" w:rsidRPr="00C76A39" w:rsidRDefault="001C6742" w:rsidP="005E0EB8">
            <w:pPr>
              <w:spacing w:after="0" w:line="240" w:lineRule="auto"/>
              <w:jc w:val="right"/>
              <w:rPr>
                <w:rFonts w:ascii="Aptos" w:hAnsi="Aptos" w:cs="Calibri"/>
                <w:b/>
                <w:bCs/>
                <w:color w:val="000000"/>
                <w:sz w:val="20"/>
                <w:szCs w:val="20"/>
                <w:lang w:val="en-GB"/>
              </w:rPr>
            </w:pPr>
            <w:r w:rsidRPr="00C76A39">
              <w:rPr>
                <w:rFonts w:ascii="Aptos" w:hAnsi="Aptos" w:cs="Calibri"/>
                <w:b/>
                <w:bCs/>
                <w:color w:val="000000"/>
                <w:sz w:val="20"/>
                <w:szCs w:val="20"/>
              </w:rPr>
              <w:t>95</w:t>
            </w:r>
            <w:r w:rsidR="005E46E0">
              <w:rPr>
                <w:rFonts w:ascii="Aptos" w:hAnsi="Aptos" w:cs="Calibri"/>
                <w:b/>
                <w:bCs/>
                <w:color w:val="000000"/>
                <w:sz w:val="20"/>
                <w:szCs w:val="20"/>
                <w:lang w:val="en-US"/>
              </w:rPr>
              <w:t>.</w:t>
            </w:r>
            <w:r w:rsidRPr="00C76A39">
              <w:rPr>
                <w:rFonts w:ascii="Aptos" w:hAnsi="Aptos" w:cs="Calibri"/>
                <w:b/>
                <w:bCs/>
                <w:color w:val="000000"/>
                <w:sz w:val="20"/>
                <w:szCs w:val="20"/>
              </w:rPr>
              <w:t>256</w:t>
            </w:r>
          </w:p>
        </w:tc>
      </w:tr>
    </w:tbl>
    <w:p w14:paraId="4CDCE0D1" w14:textId="77777777" w:rsidR="005657FD" w:rsidRPr="00BE5E19" w:rsidRDefault="005657FD" w:rsidP="005657FD">
      <w:pPr>
        <w:autoSpaceDE w:val="0"/>
        <w:autoSpaceDN w:val="0"/>
        <w:adjustRightInd w:val="0"/>
        <w:spacing w:after="240" w:line="240" w:lineRule="auto"/>
        <w:contextualSpacing/>
        <w:jc w:val="both"/>
        <w:rPr>
          <w:rFonts w:ascii="Aptos" w:hAnsi="Aptos"/>
          <w:sz w:val="20"/>
          <w:szCs w:val="20"/>
          <w:lang w:val="en-GB"/>
        </w:rPr>
      </w:pPr>
    </w:p>
    <w:p w14:paraId="6500CA27" w14:textId="0CFB5723" w:rsidR="00465EF9" w:rsidRPr="005E46E0" w:rsidRDefault="005E46E0" w:rsidP="00465EF9">
      <w:pPr>
        <w:keepNext/>
        <w:keepLines/>
        <w:spacing w:after="120" w:line="240" w:lineRule="auto"/>
        <w:jc w:val="both"/>
        <w:outlineLvl w:val="1"/>
        <w:rPr>
          <w:rFonts w:ascii="Aptos" w:eastAsia="SimSun" w:hAnsi="Aptos" w:cs="Calibri"/>
          <w:b/>
          <w:bCs/>
          <w:color w:val="4F6228"/>
          <w:sz w:val="24"/>
          <w:szCs w:val="24"/>
        </w:rPr>
      </w:pPr>
      <w:r w:rsidRPr="005E46E0">
        <w:rPr>
          <w:rFonts w:ascii="Aptos" w:eastAsia="SimSun" w:hAnsi="Aptos" w:cs="Calibri"/>
          <w:b/>
          <w:bCs/>
          <w:color w:val="4F6228"/>
          <w:sz w:val="24"/>
          <w:szCs w:val="24"/>
        </w:rPr>
        <w:t>Παράτημα Β - Χρηματοοικονομική Πληροφόρηση ανά τομέα</w:t>
      </w:r>
    </w:p>
    <w:tbl>
      <w:tblPr>
        <w:tblW w:w="11192" w:type="dxa"/>
        <w:tblInd w:w="-702" w:type="dxa"/>
        <w:tblLayout w:type="fixed"/>
        <w:tblLook w:val="04A0" w:firstRow="1" w:lastRow="0" w:firstColumn="1" w:lastColumn="0" w:noHBand="0" w:noVBand="1"/>
      </w:tblPr>
      <w:tblGrid>
        <w:gridCol w:w="2829"/>
        <w:gridCol w:w="1134"/>
        <w:gridCol w:w="926"/>
        <w:gridCol w:w="1030"/>
        <w:gridCol w:w="1030"/>
        <w:gridCol w:w="983"/>
        <w:gridCol w:w="992"/>
        <w:gridCol w:w="1134"/>
        <w:gridCol w:w="1134"/>
      </w:tblGrid>
      <w:tr w:rsidR="00CF2C09" w:rsidRPr="00BE5E19" w14:paraId="42D65A10" w14:textId="77777777" w:rsidTr="00527AD3">
        <w:trPr>
          <w:trHeight w:val="495"/>
        </w:trPr>
        <w:tc>
          <w:tcPr>
            <w:tcW w:w="2829" w:type="dxa"/>
            <w:tcBorders>
              <w:top w:val="nil"/>
              <w:left w:val="nil"/>
              <w:bottom w:val="nil"/>
              <w:right w:val="nil"/>
            </w:tcBorders>
            <w:shd w:val="clear" w:color="000000" w:fill="FFFFFF"/>
            <w:noWrap/>
            <w:vAlign w:val="bottom"/>
            <w:hideMark/>
          </w:tcPr>
          <w:p w14:paraId="038D87AF" w14:textId="695F9E9A" w:rsidR="00CF2C09" w:rsidRPr="00BE5E19" w:rsidRDefault="005E46E0">
            <w:pPr>
              <w:spacing w:after="0" w:line="240" w:lineRule="auto"/>
              <w:jc w:val="both"/>
              <w:rPr>
                <w:rFonts w:ascii="Aptos" w:eastAsia="Times New Roman" w:hAnsi="Aptos"/>
                <w:i/>
                <w:sz w:val="20"/>
                <w:szCs w:val="20"/>
                <w:lang w:val="en-GB" w:eastAsia="el-GR"/>
              </w:rPr>
            </w:pPr>
            <w:r w:rsidRPr="00734618">
              <w:rPr>
                <w:i/>
                <w:color w:val="000000"/>
                <w:sz w:val="20"/>
                <w:szCs w:val="20"/>
              </w:rPr>
              <w:t>Ποσά σε χιλιάδες ευρώ</w:t>
            </w:r>
          </w:p>
        </w:tc>
        <w:tc>
          <w:tcPr>
            <w:tcW w:w="2060" w:type="dxa"/>
            <w:gridSpan w:val="2"/>
            <w:tcBorders>
              <w:top w:val="nil"/>
              <w:left w:val="nil"/>
              <w:bottom w:val="nil"/>
              <w:right w:val="nil"/>
            </w:tcBorders>
            <w:shd w:val="clear" w:color="000000" w:fill="FFFFFF"/>
            <w:vAlign w:val="center"/>
            <w:hideMark/>
          </w:tcPr>
          <w:p w14:paraId="679B08BF" w14:textId="1ECBC6C4" w:rsidR="00CF2C09" w:rsidRPr="00BE5E19" w:rsidRDefault="005E46E0">
            <w:pPr>
              <w:spacing w:after="0" w:line="240" w:lineRule="auto"/>
              <w:jc w:val="center"/>
              <w:rPr>
                <w:rFonts w:ascii="Aptos" w:eastAsia="Times New Roman" w:hAnsi="Aptos"/>
                <w:b/>
                <w:bCs/>
                <w:color w:val="000000"/>
                <w:sz w:val="20"/>
                <w:szCs w:val="20"/>
                <w:u w:val="single"/>
                <w:lang w:val="en-GB" w:eastAsia="el-GR"/>
              </w:rPr>
            </w:pPr>
            <w:r w:rsidRPr="00F95562">
              <w:rPr>
                <w:rFonts w:eastAsia="Times New Roman"/>
                <w:b/>
                <w:bCs/>
                <w:color w:val="000000"/>
                <w:sz w:val="20"/>
                <w:szCs w:val="20"/>
                <w:u w:val="single"/>
                <w:lang w:eastAsia="el-GR"/>
              </w:rPr>
              <w:t>Καλώδια</w:t>
            </w:r>
          </w:p>
        </w:tc>
        <w:tc>
          <w:tcPr>
            <w:tcW w:w="2060" w:type="dxa"/>
            <w:gridSpan w:val="2"/>
            <w:tcBorders>
              <w:top w:val="nil"/>
              <w:left w:val="nil"/>
              <w:bottom w:val="nil"/>
              <w:right w:val="nil"/>
            </w:tcBorders>
            <w:shd w:val="clear" w:color="000000" w:fill="FFFFFF"/>
            <w:vAlign w:val="center"/>
            <w:hideMark/>
          </w:tcPr>
          <w:p w14:paraId="41AB8392" w14:textId="6F600171" w:rsidR="00CF2C09" w:rsidRPr="00BE5E19" w:rsidRDefault="005E46E0">
            <w:pPr>
              <w:spacing w:after="0" w:line="240" w:lineRule="auto"/>
              <w:jc w:val="center"/>
              <w:rPr>
                <w:rFonts w:ascii="Aptos" w:eastAsia="Times New Roman" w:hAnsi="Aptos"/>
                <w:b/>
                <w:bCs/>
                <w:color w:val="000000"/>
                <w:sz w:val="20"/>
                <w:szCs w:val="20"/>
                <w:u w:val="single"/>
                <w:lang w:val="en-GB" w:eastAsia="el-GR"/>
              </w:rPr>
            </w:pPr>
            <w:r w:rsidRPr="00F95562">
              <w:rPr>
                <w:rFonts w:eastAsia="Times New Roman"/>
                <w:b/>
                <w:bCs/>
                <w:color w:val="000000"/>
                <w:sz w:val="20"/>
                <w:szCs w:val="20"/>
                <w:u w:val="single"/>
                <w:lang w:eastAsia="el-GR"/>
              </w:rPr>
              <w:t>Σωλήνες Χάλυβα</w:t>
            </w:r>
          </w:p>
        </w:tc>
        <w:tc>
          <w:tcPr>
            <w:tcW w:w="1975" w:type="dxa"/>
            <w:gridSpan w:val="2"/>
            <w:tcBorders>
              <w:top w:val="nil"/>
              <w:left w:val="nil"/>
              <w:bottom w:val="nil"/>
              <w:right w:val="nil"/>
            </w:tcBorders>
            <w:shd w:val="clear" w:color="000000" w:fill="FFFFFF"/>
            <w:vAlign w:val="center"/>
            <w:hideMark/>
          </w:tcPr>
          <w:p w14:paraId="6BE35878" w14:textId="44796A70" w:rsidR="00CF2C09" w:rsidRPr="00BE5E19" w:rsidRDefault="005E46E0">
            <w:pPr>
              <w:spacing w:after="0" w:line="240" w:lineRule="auto"/>
              <w:jc w:val="center"/>
              <w:rPr>
                <w:rFonts w:ascii="Aptos" w:eastAsia="Times New Roman" w:hAnsi="Aptos"/>
                <w:b/>
                <w:bCs/>
                <w:color w:val="000000"/>
                <w:sz w:val="20"/>
                <w:szCs w:val="20"/>
                <w:u w:val="single"/>
                <w:lang w:val="en-GB" w:eastAsia="el-GR"/>
              </w:rPr>
            </w:pPr>
            <w:r w:rsidRPr="00F95562">
              <w:rPr>
                <w:rFonts w:eastAsia="Times New Roman"/>
                <w:b/>
                <w:bCs/>
                <w:color w:val="000000"/>
                <w:sz w:val="20"/>
                <w:szCs w:val="20"/>
                <w:u w:val="single"/>
                <w:lang w:eastAsia="el-GR"/>
              </w:rPr>
              <w:t>Λοιπές δραστηριότητες</w:t>
            </w:r>
          </w:p>
        </w:tc>
        <w:tc>
          <w:tcPr>
            <w:tcW w:w="2268" w:type="dxa"/>
            <w:gridSpan w:val="2"/>
            <w:tcBorders>
              <w:top w:val="nil"/>
              <w:left w:val="nil"/>
              <w:bottom w:val="nil"/>
              <w:right w:val="nil"/>
            </w:tcBorders>
            <w:shd w:val="clear" w:color="000000" w:fill="FFFFFF"/>
            <w:vAlign w:val="center"/>
            <w:hideMark/>
          </w:tcPr>
          <w:p w14:paraId="0BC5EB08" w14:textId="35FB02E6" w:rsidR="00CF2C09" w:rsidRPr="00BE5E19" w:rsidRDefault="005E46E0">
            <w:pPr>
              <w:spacing w:after="0" w:line="240" w:lineRule="auto"/>
              <w:jc w:val="center"/>
              <w:rPr>
                <w:rFonts w:ascii="Aptos" w:eastAsia="Times New Roman" w:hAnsi="Aptos"/>
                <w:b/>
                <w:bCs/>
                <w:color w:val="000000"/>
                <w:sz w:val="20"/>
                <w:szCs w:val="20"/>
                <w:u w:val="single"/>
                <w:lang w:val="en-GB" w:eastAsia="el-GR"/>
              </w:rPr>
            </w:pPr>
            <w:r w:rsidRPr="00F95562">
              <w:rPr>
                <w:rFonts w:eastAsia="Times New Roman"/>
                <w:b/>
                <w:bCs/>
                <w:color w:val="000000"/>
                <w:sz w:val="20"/>
                <w:szCs w:val="20"/>
                <w:u w:val="single"/>
                <w:lang w:eastAsia="el-GR"/>
              </w:rPr>
              <w:t>Σύνολο</w:t>
            </w:r>
          </w:p>
        </w:tc>
      </w:tr>
      <w:tr w:rsidR="005E46E0" w:rsidRPr="00BE5E19" w14:paraId="2DEDBBBB" w14:textId="77777777" w:rsidTr="00527AD3">
        <w:trPr>
          <w:trHeight w:val="300"/>
        </w:trPr>
        <w:tc>
          <w:tcPr>
            <w:tcW w:w="2829" w:type="dxa"/>
            <w:tcBorders>
              <w:top w:val="nil"/>
              <w:left w:val="nil"/>
              <w:bottom w:val="nil"/>
              <w:right w:val="nil"/>
            </w:tcBorders>
            <w:shd w:val="clear" w:color="000000" w:fill="FFFFFF"/>
            <w:noWrap/>
            <w:vAlign w:val="bottom"/>
            <w:hideMark/>
          </w:tcPr>
          <w:p w14:paraId="3449EE95" w14:textId="77777777" w:rsidR="005E46E0" w:rsidRPr="00BE5E19" w:rsidRDefault="005E46E0" w:rsidP="005E46E0">
            <w:pPr>
              <w:spacing w:after="0" w:line="240" w:lineRule="auto"/>
              <w:jc w:val="both"/>
              <w:rPr>
                <w:rFonts w:ascii="Aptos" w:eastAsia="Times New Roman" w:hAnsi="Aptos"/>
                <w:sz w:val="20"/>
                <w:szCs w:val="20"/>
                <w:lang w:val="en-GB" w:eastAsia="el-GR"/>
              </w:rPr>
            </w:pPr>
            <w:r w:rsidRPr="00BE5E19">
              <w:rPr>
                <w:rFonts w:ascii="Aptos" w:eastAsia="Times New Roman" w:hAnsi="Aptos"/>
                <w:sz w:val="20"/>
                <w:szCs w:val="20"/>
                <w:lang w:val="en-GB" w:eastAsia="el-GR"/>
              </w:rPr>
              <w:t> </w:t>
            </w:r>
          </w:p>
        </w:tc>
        <w:tc>
          <w:tcPr>
            <w:tcW w:w="1134" w:type="dxa"/>
            <w:tcBorders>
              <w:top w:val="nil"/>
              <w:left w:val="nil"/>
              <w:bottom w:val="nil"/>
              <w:right w:val="nil"/>
            </w:tcBorders>
            <w:shd w:val="clear" w:color="000000" w:fill="FFFFFF"/>
            <w:noWrap/>
            <w:vAlign w:val="center"/>
          </w:tcPr>
          <w:p w14:paraId="13528AA5" w14:textId="1E81FA68"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6</w:t>
            </w:r>
          </w:p>
        </w:tc>
        <w:tc>
          <w:tcPr>
            <w:tcW w:w="926" w:type="dxa"/>
            <w:tcBorders>
              <w:top w:val="nil"/>
              <w:left w:val="nil"/>
              <w:bottom w:val="nil"/>
              <w:right w:val="nil"/>
            </w:tcBorders>
            <w:shd w:val="clear" w:color="000000" w:fill="FFFFFF"/>
            <w:vAlign w:val="center"/>
            <w:hideMark/>
          </w:tcPr>
          <w:p w14:paraId="609D9E7A" w14:textId="185F32CE"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5</w:t>
            </w:r>
          </w:p>
        </w:tc>
        <w:tc>
          <w:tcPr>
            <w:tcW w:w="1030" w:type="dxa"/>
            <w:tcBorders>
              <w:top w:val="nil"/>
              <w:left w:val="nil"/>
              <w:bottom w:val="nil"/>
              <w:right w:val="nil"/>
            </w:tcBorders>
            <w:shd w:val="clear" w:color="000000" w:fill="FFFFFF"/>
            <w:noWrap/>
            <w:vAlign w:val="center"/>
          </w:tcPr>
          <w:p w14:paraId="19D5938D" w14:textId="2B328FDF"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6</w:t>
            </w:r>
          </w:p>
        </w:tc>
        <w:tc>
          <w:tcPr>
            <w:tcW w:w="1030" w:type="dxa"/>
            <w:tcBorders>
              <w:top w:val="nil"/>
              <w:left w:val="nil"/>
              <w:bottom w:val="nil"/>
              <w:right w:val="nil"/>
            </w:tcBorders>
            <w:shd w:val="clear" w:color="000000" w:fill="FFFFFF"/>
            <w:vAlign w:val="center"/>
            <w:hideMark/>
          </w:tcPr>
          <w:p w14:paraId="318A4AE9" w14:textId="3BFEFF35"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5</w:t>
            </w:r>
          </w:p>
        </w:tc>
        <w:tc>
          <w:tcPr>
            <w:tcW w:w="983" w:type="dxa"/>
            <w:tcBorders>
              <w:top w:val="nil"/>
              <w:left w:val="nil"/>
              <w:bottom w:val="nil"/>
              <w:right w:val="nil"/>
            </w:tcBorders>
            <w:shd w:val="clear" w:color="000000" w:fill="FFFFFF"/>
            <w:noWrap/>
            <w:vAlign w:val="center"/>
          </w:tcPr>
          <w:p w14:paraId="21689973" w14:textId="27DD0D83"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6</w:t>
            </w:r>
          </w:p>
        </w:tc>
        <w:tc>
          <w:tcPr>
            <w:tcW w:w="992" w:type="dxa"/>
            <w:tcBorders>
              <w:top w:val="nil"/>
              <w:left w:val="nil"/>
              <w:bottom w:val="nil"/>
              <w:right w:val="nil"/>
            </w:tcBorders>
            <w:shd w:val="clear" w:color="000000" w:fill="FFFFFF"/>
            <w:vAlign w:val="center"/>
            <w:hideMark/>
          </w:tcPr>
          <w:p w14:paraId="44D38B39" w14:textId="277AA9A4"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5</w:t>
            </w:r>
          </w:p>
        </w:tc>
        <w:tc>
          <w:tcPr>
            <w:tcW w:w="1134" w:type="dxa"/>
            <w:tcBorders>
              <w:top w:val="nil"/>
              <w:left w:val="nil"/>
              <w:bottom w:val="nil"/>
              <w:right w:val="nil"/>
            </w:tcBorders>
            <w:shd w:val="clear" w:color="000000" w:fill="FFFFFF"/>
            <w:noWrap/>
            <w:vAlign w:val="center"/>
          </w:tcPr>
          <w:p w14:paraId="0290D743" w14:textId="280EA60A"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6</w:t>
            </w:r>
          </w:p>
        </w:tc>
        <w:tc>
          <w:tcPr>
            <w:tcW w:w="1134" w:type="dxa"/>
            <w:tcBorders>
              <w:top w:val="nil"/>
              <w:left w:val="nil"/>
              <w:bottom w:val="nil"/>
              <w:right w:val="nil"/>
            </w:tcBorders>
            <w:shd w:val="clear" w:color="000000" w:fill="FFFFFF"/>
            <w:vAlign w:val="center"/>
            <w:hideMark/>
          </w:tcPr>
          <w:p w14:paraId="099ED8BF" w14:textId="2D82CB2D" w:rsidR="005E46E0" w:rsidRPr="005E46E0" w:rsidRDefault="005E46E0" w:rsidP="005E46E0">
            <w:pPr>
              <w:spacing w:after="0" w:line="240" w:lineRule="auto"/>
              <w:jc w:val="right"/>
              <w:rPr>
                <w:rFonts w:ascii="Aptos" w:eastAsia="Times New Roman" w:hAnsi="Aptos"/>
                <w:b/>
                <w:bCs/>
                <w:color w:val="000000"/>
                <w:sz w:val="20"/>
                <w:szCs w:val="20"/>
                <w:lang w:val="en-US" w:eastAsia="el-GR"/>
              </w:rPr>
            </w:pPr>
            <w:r w:rsidRPr="008A0213">
              <w:rPr>
                <w:b/>
                <w:sz w:val="20"/>
                <w:szCs w:val="20"/>
              </w:rPr>
              <w:t xml:space="preserve">1ο εξ. </w:t>
            </w:r>
            <w:r w:rsidRPr="008A0213">
              <w:rPr>
                <w:rFonts w:eastAsia="Times New Roman" w:cs="Arial"/>
                <w:b/>
                <w:bCs/>
                <w:sz w:val="20"/>
                <w:szCs w:val="20"/>
                <w:lang w:val="en-GB"/>
              </w:rPr>
              <w:t xml:space="preserve"> 202</w:t>
            </w:r>
            <w:r>
              <w:rPr>
                <w:rFonts w:eastAsia="Times New Roman" w:cs="Arial"/>
                <w:b/>
                <w:bCs/>
                <w:sz w:val="20"/>
                <w:szCs w:val="20"/>
                <w:lang w:val="en-US"/>
              </w:rPr>
              <w:t>5</w:t>
            </w:r>
          </w:p>
        </w:tc>
      </w:tr>
      <w:tr w:rsidR="005E46E0" w:rsidRPr="00BE5E19" w14:paraId="1644F8AD" w14:textId="77777777" w:rsidTr="008006C2">
        <w:trPr>
          <w:trHeight w:val="300"/>
        </w:trPr>
        <w:tc>
          <w:tcPr>
            <w:tcW w:w="2829" w:type="dxa"/>
            <w:tcBorders>
              <w:top w:val="nil"/>
              <w:left w:val="nil"/>
              <w:bottom w:val="nil"/>
              <w:right w:val="nil"/>
            </w:tcBorders>
            <w:shd w:val="clear" w:color="000000" w:fill="FFFFFF"/>
            <w:vAlign w:val="center"/>
            <w:hideMark/>
          </w:tcPr>
          <w:p w14:paraId="1447C314" w14:textId="4C0DDEA7" w:rsidR="005E46E0" w:rsidRPr="00BE5E19" w:rsidRDefault="005E46E0" w:rsidP="005E46E0">
            <w:pPr>
              <w:spacing w:after="0" w:line="240" w:lineRule="auto"/>
              <w:jc w:val="both"/>
              <w:rPr>
                <w:rFonts w:ascii="Aptos" w:eastAsia="Times New Roman" w:hAnsi="Aptos"/>
                <w:b/>
                <w:bCs/>
                <w:color w:val="000000"/>
                <w:sz w:val="20"/>
                <w:szCs w:val="20"/>
                <w:lang w:val="en-GB" w:eastAsia="el-GR"/>
              </w:rPr>
            </w:pPr>
            <w:r w:rsidRPr="008B7319">
              <w:rPr>
                <w:rFonts w:eastAsia="Times New Roman"/>
                <w:b/>
                <w:bCs/>
                <w:color w:val="000000"/>
                <w:sz w:val="20"/>
                <w:szCs w:val="20"/>
                <w:lang w:eastAsia="el-GR"/>
              </w:rPr>
              <w:t>Πωλήσεις</w:t>
            </w:r>
          </w:p>
        </w:tc>
        <w:tc>
          <w:tcPr>
            <w:tcW w:w="1134" w:type="dxa"/>
            <w:tcBorders>
              <w:top w:val="single" w:sz="4" w:space="0" w:color="auto"/>
              <w:left w:val="nil"/>
              <w:bottom w:val="single" w:sz="4" w:space="0" w:color="auto"/>
              <w:right w:val="nil"/>
            </w:tcBorders>
            <w:shd w:val="clear" w:color="auto" w:fill="E2EFD9"/>
            <w:noWrap/>
          </w:tcPr>
          <w:p w14:paraId="20138BCE" w14:textId="08BA6E53" w:rsidR="005E46E0" w:rsidRPr="00BE5E19" w:rsidRDefault="005E46E0" w:rsidP="005E46E0">
            <w:pPr>
              <w:spacing w:after="0" w:line="240" w:lineRule="auto"/>
              <w:jc w:val="right"/>
              <w:rPr>
                <w:rFonts w:ascii="Aptos" w:hAnsi="Aptos" w:cs="Calibri"/>
                <w:b/>
                <w:bCs/>
                <w:color w:val="000000"/>
                <w:sz w:val="20"/>
                <w:szCs w:val="20"/>
              </w:rPr>
            </w:pPr>
            <w:r w:rsidRPr="00BE5E19">
              <w:rPr>
                <w:rFonts w:ascii="Aptos" w:hAnsi="Aptos" w:cs="Calibri"/>
                <w:b/>
                <w:bCs/>
                <w:color w:val="000000"/>
                <w:sz w:val="20"/>
                <w:szCs w:val="20"/>
              </w:rPr>
              <w:t>841</w:t>
            </w:r>
            <w:r>
              <w:rPr>
                <w:rFonts w:ascii="Aptos" w:hAnsi="Aptos" w:cs="Calibri"/>
                <w:b/>
                <w:bCs/>
                <w:color w:val="000000"/>
                <w:sz w:val="20"/>
                <w:szCs w:val="20"/>
                <w:lang w:val="en-US"/>
              </w:rPr>
              <w:t>.</w:t>
            </w:r>
            <w:r w:rsidRPr="00BE5E19">
              <w:rPr>
                <w:rFonts w:ascii="Aptos" w:hAnsi="Aptos" w:cs="Calibri"/>
                <w:b/>
                <w:bCs/>
                <w:color w:val="000000"/>
                <w:sz w:val="20"/>
                <w:szCs w:val="20"/>
              </w:rPr>
              <w:t>692</w:t>
            </w:r>
          </w:p>
        </w:tc>
        <w:tc>
          <w:tcPr>
            <w:tcW w:w="926" w:type="dxa"/>
            <w:tcBorders>
              <w:top w:val="single" w:sz="4" w:space="0" w:color="auto"/>
              <w:left w:val="nil"/>
              <w:bottom w:val="single" w:sz="4" w:space="0" w:color="auto"/>
              <w:right w:val="nil"/>
            </w:tcBorders>
            <w:shd w:val="clear" w:color="000000" w:fill="FFFFFF"/>
            <w:noWrap/>
            <w:vAlign w:val="center"/>
          </w:tcPr>
          <w:p w14:paraId="28E71C24" w14:textId="07E89139"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742</w:t>
            </w:r>
            <w:r>
              <w:rPr>
                <w:rFonts w:ascii="Aptos" w:hAnsi="Aptos" w:cs="Calibri"/>
                <w:b/>
                <w:bCs/>
                <w:color w:val="000000"/>
                <w:sz w:val="20"/>
                <w:szCs w:val="20"/>
                <w:lang w:val="en-US"/>
              </w:rPr>
              <w:t>.</w:t>
            </w:r>
            <w:r w:rsidRPr="00BE5E19">
              <w:rPr>
                <w:rFonts w:ascii="Aptos" w:hAnsi="Aptos" w:cs="Calibri"/>
                <w:b/>
                <w:bCs/>
                <w:color w:val="000000"/>
                <w:sz w:val="20"/>
                <w:szCs w:val="20"/>
              </w:rPr>
              <w:t>442</w:t>
            </w:r>
          </w:p>
        </w:tc>
        <w:tc>
          <w:tcPr>
            <w:tcW w:w="1030" w:type="dxa"/>
            <w:tcBorders>
              <w:top w:val="single" w:sz="4" w:space="0" w:color="auto"/>
              <w:left w:val="nil"/>
              <w:bottom w:val="single" w:sz="4" w:space="0" w:color="auto"/>
              <w:right w:val="nil"/>
            </w:tcBorders>
            <w:shd w:val="clear" w:color="auto" w:fill="E2EFD9"/>
            <w:noWrap/>
            <w:vAlign w:val="center"/>
          </w:tcPr>
          <w:p w14:paraId="452F590C" w14:textId="74CCBA9D"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311</w:t>
            </w:r>
            <w:r>
              <w:rPr>
                <w:rFonts w:ascii="Aptos" w:hAnsi="Aptos" w:cs="Calibri"/>
                <w:b/>
                <w:bCs/>
                <w:color w:val="000000"/>
                <w:sz w:val="20"/>
                <w:szCs w:val="20"/>
                <w:lang w:val="en-US"/>
              </w:rPr>
              <w:t>.</w:t>
            </w:r>
            <w:r w:rsidRPr="00BE5E19">
              <w:rPr>
                <w:rFonts w:ascii="Aptos" w:hAnsi="Aptos" w:cs="Calibri"/>
                <w:b/>
                <w:bCs/>
                <w:color w:val="000000"/>
                <w:sz w:val="20"/>
                <w:szCs w:val="20"/>
              </w:rPr>
              <w:t>508</w:t>
            </w:r>
          </w:p>
        </w:tc>
        <w:tc>
          <w:tcPr>
            <w:tcW w:w="1030" w:type="dxa"/>
            <w:tcBorders>
              <w:top w:val="single" w:sz="4" w:space="0" w:color="auto"/>
              <w:left w:val="nil"/>
              <w:bottom w:val="single" w:sz="4" w:space="0" w:color="auto"/>
              <w:right w:val="nil"/>
            </w:tcBorders>
            <w:shd w:val="clear" w:color="000000" w:fill="FFFFFF"/>
            <w:noWrap/>
            <w:vAlign w:val="center"/>
          </w:tcPr>
          <w:p w14:paraId="4477F9E3" w14:textId="5415DDB7"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279</w:t>
            </w:r>
            <w:r>
              <w:rPr>
                <w:rFonts w:ascii="Aptos" w:hAnsi="Aptos" w:cs="Calibri"/>
                <w:b/>
                <w:bCs/>
                <w:color w:val="000000"/>
                <w:sz w:val="20"/>
                <w:szCs w:val="20"/>
                <w:lang w:val="en-US"/>
              </w:rPr>
              <w:t>.</w:t>
            </w:r>
            <w:r w:rsidRPr="00BE5E19">
              <w:rPr>
                <w:rFonts w:ascii="Aptos" w:hAnsi="Aptos" w:cs="Calibri"/>
                <w:b/>
                <w:bCs/>
                <w:color w:val="000000"/>
                <w:sz w:val="20"/>
                <w:szCs w:val="20"/>
              </w:rPr>
              <w:t>779</w:t>
            </w:r>
          </w:p>
        </w:tc>
        <w:tc>
          <w:tcPr>
            <w:tcW w:w="983" w:type="dxa"/>
            <w:tcBorders>
              <w:top w:val="single" w:sz="4" w:space="0" w:color="auto"/>
              <w:left w:val="nil"/>
              <w:bottom w:val="single" w:sz="4" w:space="0" w:color="auto"/>
              <w:right w:val="nil"/>
            </w:tcBorders>
            <w:shd w:val="clear" w:color="auto" w:fill="E2EFD9"/>
            <w:noWrap/>
            <w:vAlign w:val="center"/>
          </w:tcPr>
          <w:p w14:paraId="49BA576D" w14:textId="6B64DFB0"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lang w:val="en-US"/>
              </w:rPr>
              <w:t>-</w:t>
            </w:r>
            <w:r w:rsidRPr="00BE5E19">
              <w:rPr>
                <w:rFonts w:ascii="Aptos" w:hAnsi="Aptos" w:cs="Calibri"/>
                <w:b/>
                <w:bCs/>
                <w:color w:val="000000"/>
                <w:sz w:val="20"/>
                <w:szCs w:val="20"/>
              </w:rPr>
              <w:t> </w:t>
            </w:r>
          </w:p>
        </w:tc>
        <w:tc>
          <w:tcPr>
            <w:tcW w:w="992" w:type="dxa"/>
            <w:tcBorders>
              <w:top w:val="single" w:sz="4" w:space="0" w:color="auto"/>
              <w:left w:val="nil"/>
              <w:bottom w:val="single" w:sz="4" w:space="0" w:color="auto"/>
              <w:right w:val="nil"/>
            </w:tcBorders>
            <w:shd w:val="clear" w:color="000000" w:fill="FFFFFF"/>
            <w:noWrap/>
            <w:vAlign w:val="center"/>
          </w:tcPr>
          <w:p w14:paraId="0CB8C1E6" w14:textId="606D974F"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lang w:val="en-US"/>
              </w:rPr>
              <w:t>-</w:t>
            </w:r>
            <w:r w:rsidRPr="00BE5E19">
              <w:rPr>
                <w:rFonts w:ascii="Aptos" w:hAnsi="Aptos" w:cs="Calibri"/>
                <w:b/>
                <w:bCs/>
                <w:color w:val="000000"/>
                <w:sz w:val="20"/>
                <w:szCs w:val="20"/>
              </w:rPr>
              <w:t> </w:t>
            </w:r>
          </w:p>
        </w:tc>
        <w:tc>
          <w:tcPr>
            <w:tcW w:w="1134" w:type="dxa"/>
            <w:tcBorders>
              <w:top w:val="single" w:sz="4" w:space="0" w:color="auto"/>
              <w:left w:val="nil"/>
              <w:bottom w:val="single" w:sz="4" w:space="0" w:color="auto"/>
              <w:right w:val="nil"/>
            </w:tcBorders>
            <w:shd w:val="clear" w:color="auto" w:fill="E2EFD9"/>
            <w:noWrap/>
            <w:vAlign w:val="center"/>
          </w:tcPr>
          <w:p w14:paraId="26F34B1B" w14:textId="5EC2E7E6"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1</w:t>
            </w:r>
            <w:r>
              <w:rPr>
                <w:rFonts w:ascii="Aptos" w:hAnsi="Aptos" w:cs="Calibri"/>
                <w:b/>
                <w:bCs/>
                <w:color w:val="000000"/>
                <w:sz w:val="20"/>
                <w:szCs w:val="20"/>
                <w:lang w:val="en-US"/>
              </w:rPr>
              <w:t>.</w:t>
            </w:r>
            <w:r w:rsidRPr="00BE5E19">
              <w:rPr>
                <w:rFonts w:ascii="Aptos" w:hAnsi="Aptos" w:cs="Calibri"/>
                <w:b/>
                <w:bCs/>
                <w:color w:val="000000"/>
                <w:sz w:val="20"/>
                <w:szCs w:val="20"/>
              </w:rPr>
              <w:t>153</w:t>
            </w:r>
            <w:r>
              <w:rPr>
                <w:rFonts w:ascii="Aptos" w:hAnsi="Aptos" w:cs="Calibri"/>
                <w:b/>
                <w:bCs/>
                <w:color w:val="000000"/>
                <w:sz w:val="20"/>
                <w:szCs w:val="20"/>
                <w:lang w:val="en-US"/>
              </w:rPr>
              <w:t>.</w:t>
            </w:r>
            <w:r w:rsidRPr="00BE5E19">
              <w:rPr>
                <w:rFonts w:ascii="Aptos" w:hAnsi="Aptos" w:cs="Calibri"/>
                <w:b/>
                <w:bCs/>
                <w:color w:val="000000"/>
                <w:sz w:val="20"/>
                <w:szCs w:val="20"/>
              </w:rPr>
              <w:t>200</w:t>
            </w:r>
          </w:p>
        </w:tc>
        <w:tc>
          <w:tcPr>
            <w:tcW w:w="1134" w:type="dxa"/>
            <w:tcBorders>
              <w:top w:val="single" w:sz="4" w:space="0" w:color="auto"/>
              <w:left w:val="nil"/>
              <w:bottom w:val="single" w:sz="4" w:space="0" w:color="auto"/>
              <w:right w:val="nil"/>
            </w:tcBorders>
            <w:shd w:val="clear" w:color="000000" w:fill="FFFFFF"/>
            <w:noWrap/>
            <w:vAlign w:val="center"/>
          </w:tcPr>
          <w:p w14:paraId="5E950746" w14:textId="2D514569"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1</w:t>
            </w:r>
            <w:r>
              <w:rPr>
                <w:rFonts w:ascii="Aptos" w:hAnsi="Aptos" w:cs="Calibri"/>
                <w:b/>
                <w:bCs/>
                <w:color w:val="000000"/>
                <w:sz w:val="20"/>
                <w:szCs w:val="20"/>
                <w:lang w:val="en-US"/>
              </w:rPr>
              <w:t>.</w:t>
            </w:r>
            <w:r w:rsidRPr="00BE5E19">
              <w:rPr>
                <w:rFonts w:ascii="Aptos" w:hAnsi="Aptos" w:cs="Calibri"/>
                <w:b/>
                <w:bCs/>
                <w:color w:val="000000"/>
                <w:sz w:val="20"/>
                <w:szCs w:val="20"/>
              </w:rPr>
              <w:t>022</w:t>
            </w:r>
            <w:r>
              <w:rPr>
                <w:rFonts w:ascii="Aptos" w:hAnsi="Aptos" w:cs="Calibri"/>
                <w:b/>
                <w:bCs/>
                <w:color w:val="000000"/>
                <w:sz w:val="20"/>
                <w:szCs w:val="20"/>
                <w:lang w:val="en-US"/>
              </w:rPr>
              <w:t>.</w:t>
            </w:r>
            <w:r w:rsidRPr="00BE5E19">
              <w:rPr>
                <w:rFonts w:ascii="Aptos" w:hAnsi="Aptos" w:cs="Calibri"/>
                <w:b/>
                <w:bCs/>
                <w:color w:val="000000"/>
                <w:sz w:val="20"/>
                <w:szCs w:val="20"/>
              </w:rPr>
              <w:t>220</w:t>
            </w:r>
          </w:p>
        </w:tc>
      </w:tr>
      <w:tr w:rsidR="005E46E0" w:rsidRPr="00BE5E19" w14:paraId="569C8CF9" w14:textId="77777777" w:rsidTr="008006C2">
        <w:trPr>
          <w:trHeight w:val="300"/>
        </w:trPr>
        <w:tc>
          <w:tcPr>
            <w:tcW w:w="2829" w:type="dxa"/>
            <w:tcBorders>
              <w:top w:val="nil"/>
              <w:left w:val="nil"/>
              <w:bottom w:val="nil"/>
              <w:right w:val="nil"/>
            </w:tcBorders>
            <w:shd w:val="clear" w:color="000000" w:fill="FFFFFF"/>
            <w:vAlign w:val="center"/>
            <w:hideMark/>
          </w:tcPr>
          <w:p w14:paraId="6F04BC11" w14:textId="2AEF31CA" w:rsidR="005E46E0" w:rsidRPr="00BE5E19" w:rsidRDefault="005E46E0" w:rsidP="005E46E0">
            <w:pPr>
              <w:spacing w:after="0" w:line="240" w:lineRule="auto"/>
              <w:jc w:val="both"/>
              <w:rPr>
                <w:rFonts w:ascii="Aptos" w:eastAsia="Times New Roman" w:hAnsi="Aptos"/>
                <w:b/>
                <w:bCs/>
                <w:color w:val="000000"/>
                <w:sz w:val="20"/>
                <w:szCs w:val="20"/>
                <w:lang w:val="en-GB" w:eastAsia="el-GR"/>
              </w:rPr>
            </w:pPr>
            <w:r w:rsidRPr="008B7319">
              <w:rPr>
                <w:rFonts w:eastAsia="Times New Roman"/>
                <w:b/>
                <w:bCs/>
                <w:color w:val="000000"/>
                <w:sz w:val="20"/>
                <w:szCs w:val="20"/>
                <w:lang w:eastAsia="el-GR"/>
              </w:rPr>
              <w:t>Μικτό κέρδος</w:t>
            </w:r>
          </w:p>
        </w:tc>
        <w:tc>
          <w:tcPr>
            <w:tcW w:w="1134" w:type="dxa"/>
            <w:tcBorders>
              <w:top w:val="single" w:sz="4" w:space="0" w:color="auto"/>
              <w:left w:val="nil"/>
              <w:bottom w:val="single" w:sz="4" w:space="0" w:color="auto"/>
              <w:right w:val="nil"/>
            </w:tcBorders>
            <w:shd w:val="clear" w:color="auto" w:fill="E2EFD9"/>
            <w:noWrap/>
          </w:tcPr>
          <w:p w14:paraId="23AFD35C" w14:textId="3DBE8AC8" w:rsidR="005E46E0" w:rsidRPr="00C37E94" w:rsidRDefault="005E46E0" w:rsidP="005E46E0">
            <w:pPr>
              <w:spacing w:after="0" w:line="240" w:lineRule="auto"/>
              <w:jc w:val="right"/>
              <w:rPr>
                <w:rFonts w:ascii="Aptos" w:hAnsi="Aptos" w:cs="Calibri"/>
                <w:b/>
                <w:bCs/>
                <w:color w:val="000000"/>
                <w:sz w:val="20"/>
                <w:szCs w:val="20"/>
              </w:rPr>
            </w:pPr>
            <w:r w:rsidRPr="00C37E94">
              <w:rPr>
                <w:rFonts w:ascii="Aptos" w:hAnsi="Aptos" w:cs="Calibri"/>
                <w:b/>
                <w:bCs/>
                <w:color w:val="000000"/>
                <w:sz w:val="20"/>
                <w:szCs w:val="20"/>
              </w:rPr>
              <w:t>183</w:t>
            </w:r>
            <w:r w:rsidRPr="00C37E94">
              <w:rPr>
                <w:rFonts w:ascii="Aptos" w:hAnsi="Aptos" w:cs="Calibri"/>
                <w:b/>
                <w:bCs/>
                <w:color w:val="000000"/>
                <w:sz w:val="20"/>
                <w:szCs w:val="20"/>
                <w:lang w:val="en-US"/>
              </w:rPr>
              <w:t>.</w:t>
            </w:r>
            <w:r w:rsidRPr="00C37E94">
              <w:rPr>
                <w:rFonts w:ascii="Aptos" w:hAnsi="Aptos" w:cs="Calibri"/>
                <w:b/>
                <w:bCs/>
                <w:color w:val="000000"/>
                <w:sz w:val="20"/>
                <w:szCs w:val="20"/>
              </w:rPr>
              <w:t>540</w:t>
            </w:r>
          </w:p>
        </w:tc>
        <w:tc>
          <w:tcPr>
            <w:tcW w:w="926" w:type="dxa"/>
            <w:tcBorders>
              <w:top w:val="single" w:sz="4" w:space="0" w:color="auto"/>
              <w:left w:val="nil"/>
              <w:bottom w:val="single" w:sz="4" w:space="0" w:color="auto"/>
              <w:right w:val="nil"/>
            </w:tcBorders>
            <w:shd w:val="clear" w:color="000000" w:fill="FFFFFF"/>
            <w:noWrap/>
            <w:vAlign w:val="center"/>
          </w:tcPr>
          <w:p w14:paraId="2B4C3B94" w14:textId="2F6A09F9"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131</w:t>
            </w:r>
            <w:r w:rsidRPr="00C37E94">
              <w:rPr>
                <w:rFonts w:ascii="Aptos" w:hAnsi="Aptos" w:cs="Calibri"/>
                <w:b/>
                <w:bCs/>
                <w:color w:val="000000"/>
                <w:sz w:val="20"/>
                <w:szCs w:val="20"/>
                <w:lang w:val="en-US"/>
              </w:rPr>
              <w:t>.</w:t>
            </w:r>
            <w:r w:rsidRPr="00C37E94">
              <w:rPr>
                <w:rFonts w:ascii="Aptos" w:hAnsi="Aptos" w:cs="Calibri"/>
                <w:b/>
                <w:bCs/>
                <w:color w:val="000000"/>
                <w:sz w:val="20"/>
                <w:szCs w:val="20"/>
              </w:rPr>
              <w:t>214</w:t>
            </w:r>
          </w:p>
        </w:tc>
        <w:tc>
          <w:tcPr>
            <w:tcW w:w="1030" w:type="dxa"/>
            <w:tcBorders>
              <w:top w:val="single" w:sz="4" w:space="0" w:color="auto"/>
              <w:left w:val="nil"/>
              <w:bottom w:val="single" w:sz="4" w:space="0" w:color="auto"/>
              <w:right w:val="nil"/>
            </w:tcBorders>
            <w:shd w:val="clear" w:color="auto" w:fill="E2EFD9"/>
            <w:noWrap/>
            <w:vAlign w:val="center"/>
          </w:tcPr>
          <w:p w14:paraId="2696575D" w14:textId="02AEB3E9"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56</w:t>
            </w:r>
            <w:r w:rsidRPr="00C37E94">
              <w:rPr>
                <w:rFonts w:ascii="Aptos" w:hAnsi="Aptos" w:cs="Calibri"/>
                <w:b/>
                <w:bCs/>
                <w:color w:val="000000"/>
                <w:sz w:val="20"/>
                <w:szCs w:val="20"/>
                <w:lang w:val="en-US"/>
              </w:rPr>
              <w:t>.</w:t>
            </w:r>
            <w:r w:rsidRPr="00C37E94">
              <w:rPr>
                <w:rFonts w:ascii="Aptos" w:hAnsi="Aptos" w:cs="Calibri"/>
                <w:b/>
                <w:bCs/>
                <w:color w:val="000000"/>
                <w:sz w:val="20"/>
                <w:szCs w:val="20"/>
              </w:rPr>
              <w:t>449</w:t>
            </w:r>
          </w:p>
        </w:tc>
        <w:tc>
          <w:tcPr>
            <w:tcW w:w="1030" w:type="dxa"/>
            <w:tcBorders>
              <w:top w:val="single" w:sz="4" w:space="0" w:color="auto"/>
              <w:left w:val="nil"/>
              <w:bottom w:val="single" w:sz="4" w:space="0" w:color="auto"/>
              <w:right w:val="nil"/>
            </w:tcBorders>
            <w:shd w:val="clear" w:color="000000" w:fill="FFFFFF"/>
            <w:noWrap/>
            <w:vAlign w:val="center"/>
          </w:tcPr>
          <w:p w14:paraId="70A23FE8" w14:textId="7DF69F87"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53</w:t>
            </w:r>
            <w:r w:rsidRPr="00C37E94">
              <w:rPr>
                <w:rFonts w:ascii="Aptos" w:hAnsi="Aptos" w:cs="Calibri"/>
                <w:b/>
                <w:bCs/>
                <w:color w:val="000000"/>
                <w:sz w:val="20"/>
                <w:szCs w:val="20"/>
                <w:lang w:val="en-US"/>
              </w:rPr>
              <w:t>.</w:t>
            </w:r>
            <w:r w:rsidRPr="00C37E94">
              <w:rPr>
                <w:rFonts w:ascii="Aptos" w:hAnsi="Aptos" w:cs="Calibri"/>
                <w:b/>
                <w:bCs/>
                <w:color w:val="000000"/>
                <w:sz w:val="20"/>
                <w:szCs w:val="20"/>
              </w:rPr>
              <w:t>884</w:t>
            </w:r>
          </w:p>
        </w:tc>
        <w:tc>
          <w:tcPr>
            <w:tcW w:w="983" w:type="dxa"/>
            <w:tcBorders>
              <w:top w:val="single" w:sz="4" w:space="0" w:color="auto"/>
              <w:left w:val="nil"/>
              <w:bottom w:val="single" w:sz="4" w:space="0" w:color="auto"/>
              <w:right w:val="nil"/>
            </w:tcBorders>
            <w:shd w:val="clear" w:color="auto" w:fill="E2EFD9"/>
            <w:noWrap/>
            <w:vAlign w:val="center"/>
          </w:tcPr>
          <w:p w14:paraId="1B7A9F2B" w14:textId="17E649E4"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lang w:val="en-US"/>
              </w:rPr>
              <w:t>-</w:t>
            </w:r>
            <w:r w:rsidRPr="00C37E94">
              <w:rPr>
                <w:rFonts w:ascii="Aptos" w:hAnsi="Aptos" w:cs="Calibri"/>
                <w:b/>
                <w:bCs/>
                <w:color w:val="000000"/>
                <w:sz w:val="20"/>
                <w:szCs w:val="20"/>
              </w:rPr>
              <w:t> </w:t>
            </w:r>
          </w:p>
        </w:tc>
        <w:tc>
          <w:tcPr>
            <w:tcW w:w="992" w:type="dxa"/>
            <w:tcBorders>
              <w:top w:val="single" w:sz="4" w:space="0" w:color="auto"/>
              <w:left w:val="nil"/>
              <w:bottom w:val="single" w:sz="4" w:space="0" w:color="auto"/>
              <w:right w:val="nil"/>
            </w:tcBorders>
            <w:shd w:val="clear" w:color="000000" w:fill="FFFFFF"/>
            <w:noWrap/>
            <w:vAlign w:val="center"/>
          </w:tcPr>
          <w:p w14:paraId="4A390013" w14:textId="6752AD1B"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lang w:val="en-US"/>
              </w:rPr>
              <w:t>-</w:t>
            </w:r>
            <w:r w:rsidRPr="00C37E94">
              <w:rPr>
                <w:rFonts w:ascii="Aptos" w:hAnsi="Aptos" w:cs="Calibri"/>
                <w:b/>
                <w:bCs/>
                <w:color w:val="000000"/>
                <w:sz w:val="20"/>
                <w:szCs w:val="20"/>
              </w:rPr>
              <w:t> </w:t>
            </w:r>
          </w:p>
        </w:tc>
        <w:tc>
          <w:tcPr>
            <w:tcW w:w="1134" w:type="dxa"/>
            <w:tcBorders>
              <w:top w:val="single" w:sz="4" w:space="0" w:color="auto"/>
              <w:left w:val="nil"/>
              <w:bottom w:val="single" w:sz="4" w:space="0" w:color="auto"/>
              <w:right w:val="nil"/>
            </w:tcBorders>
            <w:shd w:val="clear" w:color="auto" w:fill="E2EFD9"/>
            <w:noWrap/>
            <w:vAlign w:val="center"/>
          </w:tcPr>
          <w:p w14:paraId="07C4AF60" w14:textId="268E58BC"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239</w:t>
            </w:r>
            <w:r w:rsidRPr="00C37E94">
              <w:rPr>
                <w:rFonts w:ascii="Aptos" w:hAnsi="Aptos" w:cs="Calibri"/>
                <w:b/>
                <w:bCs/>
                <w:color w:val="000000"/>
                <w:sz w:val="20"/>
                <w:szCs w:val="20"/>
                <w:lang w:val="en-US"/>
              </w:rPr>
              <w:t>.</w:t>
            </w:r>
            <w:r w:rsidRPr="00C37E94">
              <w:rPr>
                <w:rFonts w:ascii="Aptos" w:hAnsi="Aptos" w:cs="Calibri"/>
                <w:b/>
                <w:bCs/>
                <w:color w:val="000000"/>
                <w:sz w:val="20"/>
                <w:szCs w:val="20"/>
              </w:rPr>
              <w:t>988</w:t>
            </w:r>
          </w:p>
        </w:tc>
        <w:tc>
          <w:tcPr>
            <w:tcW w:w="1134" w:type="dxa"/>
            <w:tcBorders>
              <w:top w:val="single" w:sz="4" w:space="0" w:color="auto"/>
              <w:left w:val="nil"/>
              <w:bottom w:val="single" w:sz="4" w:space="0" w:color="auto"/>
              <w:right w:val="nil"/>
            </w:tcBorders>
            <w:shd w:val="clear" w:color="000000" w:fill="FFFFFF"/>
            <w:noWrap/>
            <w:vAlign w:val="center"/>
          </w:tcPr>
          <w:p w14:paraId="1F889A84" w14:textId="42088801"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185</w:t>
            </w:r>
            <w:r w:rsidRPr="00C37E94">
              <w:rPr>
                <w:rFonts w:ascii="Aptos" w:hAnsi="Aptos" w:cs="Calibri"/>
                <w:b/>
                <w:bCs/>
                <w:color w:val="000000"/>
                <w:sz w:val="20"/>
                <w:szCs w:val="20"/>
                <w:lang w:val="en-US"/>
              </w:rPr>
              <w:t>.</w:t>
            </w:r>
            <w:r w:rsidRPr="00C37E94">
              <w:rPr>
                <w:rFonts w:ascii="Aptos" w:hAnsi="Aptos" w:cs="Calibri"/>
                <w:b/>
                <w:bCs/>
                <w:color w:val="000000"/>
                <w:sz w:val="20"/>
                <w:szCs w:val="20"/>
              </w:rPr>
              <w:t>099</w:t>
            </w:r>
          </w:p>
        </w:tc>
      </w:tr>
      <w:tr w:rsidR="005E46E0" w:rsidRPr="00BE5E19" w14:paraId="5F63FCF9" w14:textId="77777777" w:rsidTr="008006C2">
        <w:trPr>
          <w:trHeight w:val="300"/>
        </w:trPr>
        <w:tc>
          <w:tcPr>
            <w:tcW w:w="2829" w:type="dxa"/>
            <w:tcBorders>
              <w:top w:val="nil"/>
              <w:left w:val="nil"/>
              <w:bottom w:val="nil"/>
              <w:right w:val="nil"/>
            </w:tcBorders>
            <w:shd w:val="clear" w:color="000000" w:fill="FFFFFF"/>
            <w:vAlign w:val="center"/>
            <w:hideMark/>
          </w:tcPr>
          <w:p w14:paraId="4ED91030" w14:textId="3C56F840" w:rsidR="005E46E0" w:rsidRPr="00BE5E19" w:rsidRDefault="005E46E0" w:rsidP="005E46E0">
            <w:pPr>
              <w:spacing w:after="0" w:line="240" w:lineRule="auto"/>
              <w:jc w:val="both"/>
              <w:rPr>
                <w:rFonts w:ascii="Aptos" w:eastAsia="Times New Roman" w:hAnsi="Aptos"/>
                <w:b/>
                <w:bCs/>
                <w:color w:val="000000"/>
                <w:sz w:val="20"/>
                <w:szCs w:val="20"/>
                <w:lang w:val="en-GB" w:eastAsia="el-GR"/>
              </w:rPr>
            </w:pPr>
            <w:r w:rsidRPr="008B7319">
              <w:rPr>
                <w:rFonts w:eastAsia="Times New Roman"/>
                <w:b/>
                <w:bCs/>
                <w:color w:val="000000"/>
                <w:sz w:val="20"/>
                <w:szCs w:val="20"/>
                <w:lang w:eastAsia="el-GR"/>
              </w:rPr>
              <w:t>Λειτουργικά κέρδη / (ζημιές)</w:t>
            </w:r>
          </w:p>
        </w:tc>
        <w:tc>
          <w:tcPr>
            <w:tcW w:w="1134" w:type="dxa"/>
            <w:tcBorders>
              <w:top w:val="single" w:sz="4" w:space="0" w:color="auto"/>
              <w:left w:val="nil"/>
              <w:bottom w:val="single" w:sz="4" w:space="0" w:color="auto"/>
              <w:right w:val="nil"/>
            </w:tcBorders>
            <w:shd w:val="clear" w:color="auto" w:fill="E2EFD9"/>
            <w:noWrap/>
          </w:tcPr>
          <w:p w14:paraId="784ED235" w14:textId="71567DCE" w:rsidR="005E46E0" w:rsidRPr="00C37E94" w:rsidRDefault="005E46E0" w:rsidP="005E46E0">
            <w:pPr>
              <w:spacing w:after="0" w:line="240" w:lineRule="auto"/>
              <w:jc w:val="right"/>
              <w:rPr>
                <w:rFonts w:ascii="Aptos" w:hAnsi="Aptos" w:cs="Calibri"/>
                <w:b/>
                <w:bCs/>
                <w:color w:val="000000"/>
                <w:sz w:val="20"/>
                <w:szCs w:val="20"/>
              </w:rPr>
            </w:pPr>
            <w:r w:rsidRPr="00C37E94">
              <w:rPr>
                <w:rFonts w:ascii="Aptos" w:hAnsi="Aptos" w:cs="Calibri"/>
                <w:b/>
                <w:bCs/>
                <w:color w:val="000000"/>
                <w:sz w:val="20"/>
                <w:szCs w:val="20"/>
              </w:rPr>
              <w:t>154</w:t>
            </w:r>
            <w:r w:rsidRPr="00C37E94">
              <w:rPr>
                <w:rFonts w:ascii="Aptos" w:hAnsi="Aptos" w:cs="Calibri"/>
                <w:b/>
                <w:bCs/>
                <w:color w:val="000000"/>
                <w:sz w:val="20"/>
                <w:szCs w:val="20"/>
                <w:lang w:val="en-US"/>
              </w:rPr>
              <w:t>.</w:t>
            </w:r>
            <w:r w:rsidRPr="00C37E94">
              <w:rPr>
                <w:rFonts w:ascii="Aptos" w:hAnsi="Aptos" w:cs="Calibri"/>
                <w:b/>
                <w:bCs/>
                <w:color w:val="000000"/>
                <w:sz w:val="20"/>
                <w:szCs w:val="20"/>
              </w:rPr>
              <w:t>121</w:t>
            </w:r>
          </w:p>
        </w:tc>
        <w:tc>
          <w:tcPr>
            <w:tcW w:w="926" w:type="dxa"/>
            <w:tcBorders>
              <w:top w:val="single" w:sz="4" w:space="0" w:color="auto"/>
              <w:left w:val="nil"/>
              <w:bottom w:val="single" w:sz="4" w:space="0" w:color="auto"/>
              <w:right w:val="nil"/>
            </w:tcBorders>
            <w:shd w:val="clear" w:color="000000" w:fill="FFFFFF"/>
            <w:noWrap/>
            <w:vAlign w:val="center"/>
          </w:tcPr>
          <w:p w14:paraId="02E3341E" w14:textId="275422DA"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108</w:t>
            </w:r>
            <w:r w:rsidRPr="00C37E94">
              <w:rPr>
                <w:rFonts w:ascii="Aptos" w:hAnsi="Aptos" w:cs="Calibri"/>
                <w:b/>
                <w:bCs/>
                <w:color w:val="000000"/>
                <w:sz w:val="20"/>
                <w:szCs w:val="20"/>
                <w:lang w:val="en-US"/>
              </w:rPr>
              <w:t>.</w:t>
            </w:r>
            <w:r w:rsidRPr="00C37E94">
              <w:rPr>
                <w:rFonts w:ascii="Aptos" w:hAnsi="Aptos" w:cs="Calibri"/>
                <w:b/>
                <w:bCs/>
                <w:color w:val="000000"/>
                <w:sz w:val="20"/>
                <w:szCs w:val="20"/>
              </w:rPr>
              <w:t>185</w:t>
            </w:r>
          </w:p>
        </w:tc>
        <w:tc>
          <w:tcPr>
            <w:tcW w:w="1030" w:type="dxa"/>
            <w:tcBorders>
              <w:top w:val="single" w:sz="4" w:space="0" w:color="auto"/>
              <w:left w:val="nil"/>
              <w:bottom w:val="single" w:sz="4" w:space="0" w:color="auto"/>
              <w:right w:val="nil"/>
            </w:tcBorders>
            <w:shd w:val="clear" w:color="auto" w:fill="E2EFD9"/>
            <w:noWrap/>
            <w:vAlign w:val="center"/>
          </w:tcPr>
          <w:p w14:paraId="615315EC" w14:textId="2DCA7775"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45</w:t>
            </w:r>
            <w:r w:rsidRPr="00C37E94">
              <w:rPr>
                <w:rFonts w:ascii="Aptos" w:hAnsi="Aptos" w:cs="Calibri"/>
                <w:b/>
                <w:bCs/>
                <w:color w:val="000000"/>
                <w:sz w:val="20"/>
                <w:szCs w:val="20"/>
                <w:lang w:val="en-US"/>
              </w:rPr>
              <w:t>.</w:t>
            </w:r>
            <w:r w:rsidRPr="00C37E94">
              <w:rPr>
                <w:rFonts w:ascii="Aptos" w:hAnsi="Aptos" w:cs="Calibri"/>
                <w:b/>
                <w:bCs/>
                <w:color w:val="000000"/>
                <w:sz w:val="20"/>
                <w:szCs w:val="20"/>
              </w:rPr>
              <w:t>692</w:t>
            </w:r>
          </w:p>
        </w:tc>
        <w:tc>
          <w:tcPr>
            <w:tcW w:w="1030" w:type="dxa"/>
            <w:tcBorders>
              <w:top w:val="single" w:sz="4" w:space="0" w:color="auto"/>
              <w:left w:val="nil"/>
              <w:bottom w:val="single" w:sz="4" w:space="0" w:color="auto"/>
              <w:right w:val="nil"/>
            </w:tcBorders>
            <w:shd w:val="clear" w:color="000000" w:fill="FFFFFF"/>
            <w:noWrap/>
            <w:vAlign w:val="center"/>
          </w:tcPr>
          <w:p w14:paraId="4B7CF353" w14:textId="00E7BD84"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44</w:t>
            </w:r>
            <w:r w:rsidRPr="00C37E94">
              <w:rPr>
                <w:rFonts w:ascii="Aptos" w:hAnsi="Aptos" w:cs="Calibri"/>
                <w:b/>
                <w:bCs/>
                <w:color w:val="000000"/>
                <w:sz w:val="20"/>
                <w:szCs w:val="20"/>
                <w:lang w:val="en-US"/>
              </w:rPr>
              <w:t>.</w:t>
            </w:r>
            <w:r w:rsidRPr="00C37E94">
              <w:rPr>
                <w:rFonts w:ascii="Aptos" w:hAnsi="Aptos" w:cs="Calibri"/>
                <w:b/>
                <w:bCs/>
                <w:color w:val="000000"/>
                <w:sz w:val="20"/>
                <w:szCs w:val="20"/>
              </w:rPr>
              <w:t>904</w:t>
            </w:r>
          </w:p>
        </w:tc>
        <w:tc>
          <w:tcPr>
            <w:tcW w:w="983" w:type="dxa"/>
            <w:tcBorders>
              <w:top w:val="single" w:sz="4" w:space="0" w:color="auto"/>
              <w:left w:val="nil"/>
              <w:bottom w:val="single" w:sz="4" w:space="0" w:color="auto"/>
              <w:right w:val="nil"/>
            </w:tcBorders>
            <w:shd w:val="clear" w:color="auto" w:fill="E2EFD9"/>
            <w:noWrap/>
            <w:vAlign w:val="center"/>
          </w:tcPr>
          <w:p w14:paraId="138F99E9" w14:textId="3D1E9F75"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w:t>
            </w:r>
            <w:r w:rsidRPr="00C37E94">
              <w:rPr>
                <w:rFonts w:ascii="Aptos" w:hAnsi="Aptos" w:cs="Calibri"/>
                <w:b/>
                <w:bCs/>
                <w:color w:val="000000"/>
                <w:sz w:val="20"/>
                <w:szCs w:val="20"/>
                <w:lang w:val="en-US"/>
              </w:rPr>
              <w:t>.</w:t>
            </w:r>
            <w:r w:rsidRPr="00C37E94">
              <w:rPr>
                <w:rFonts w:ascii="Aptos" w:hAnsi="Aptos" w:cs="Calibri"/>
                <w:b/>
                <w:bCs/>
                <w:color w:val="000000"/>
                <w:sz w:val="20"/>
                <w:szCs w:val="20"/>
              </w:rPr>
              <w:t>581)</w:t>
            </w:r>
          </w:p>
        </w:tc>
        <w:tc>
          <w:tcPr>
            <w:tcW w:w="992" w:type="dxa"/>
            <w:tcBorders>
              <w:top w:val="single" w:sz="4" w:space="0" w:color="auto"/>
              <w:left w:val="nil"/>
              <w:bottom w:val="single" w:sz="4" w:space="0" w:color="auto"/>
              <w:right w:val="nil"/>
            </w:tcBorders>
            <w:shd w:val="clear" w:color="000000" w:fill="FFFFFF"/>
            <w:noWrap/>
            <w:vAlign w:val="center"/>
          </w:tcPr>
          <w:p w14:paraId="0710428F" w14:textId="4E4A1F59"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w:t>
            </w:r>
            <w:r w:rsidRPr="00C37E94">
              <w:rPr>
                <w:rFonts w:ascii="Aptos" w:hAnsi="Aptos" w:cs="Calibri"/>
                <w:b/>
                <w:bCs/>
                <w:color w:val="000000"/>
                <w:sz w:val="20"/>
                <w:szCs w:val="20"/>
                <w:lang w:val="en-US"/>
              </w:rPr>
              <w:t>.</w:t>
            </w:r>
            <w:r w:rsidRPr="00C37E94">
              <w:rPr>
                <w:rFonts w:ascii="Aptos" w:hAnsi="Aptos" w:cs="Calibri"/>
                <w:b/>
                <w:bCs/>
                <w:color w:val="000000"/>
                <w:sz w:val="20"/>
                <w:szCs w:val="20"/>
              </w:rPr>
              <w:t>722)</w:t>
            </w:r>
          </w:p>
        </w:tc>
        <w:tc>
          <w:tcPr>
            <w:tcW w:w="1134" w:type="dxa"/>
            <w:tcBorders>
              <w:top w:val="single" w:sz="4" w:space="0" w:color="auto"/>
              <w:left w:val="nil"/>
              <w:bottom w:val="single" w:sz="4" w:space="0" w:color="auto"/>
              <w:right w:val="nil"/>
            </w:tcBorders>
            <w:shd w:val="clear" w:color="auto" w:fill="E2EFD9"/>
            <w:noWrap/>
            <w:vAlign w:val="center"/>
          </w:tcPr>
          <w:p w14:paraId="15D6234C" w14:textId="1298AD69"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198</w:t>
            </w:r>
            <w:r w:rsidRPr="00C37E94">
              <w:rPr>
                <w:rFonts w:ascii="Aptos" w:hAnsi="Aptos" w:cs="Calibri"/>
                <w:b/>
                <w:bCs/>
                <w:color w:val="000000"/>
                <w:sz w:val="20"/>
                <w:szCs w:val="20"/>
                <w:lang w:val="en-US"/>
              </w:rPr>
              <w:t>.</w:t>
            </w:r>
            <w:r w:rsidRPr="00C37E94">
              <w:rPr>
                <w:rFonts w:ascii="Aptos" w:hAnsi="Aptos" w:cs="Calibri"/>
                <w:b/>
                <w:bCs/>
                <w:color w:val="000000"/>
                <w:sz w:val="20"/>
                <w:szCs w:val="20"/>
              </w:rPr>
              <w:t>232</w:t>
            </w:r>
          </w:p>
        </w:tc>
        <w:tc>
          <w:tcPr>
            <w:tcW w:w="1134" w:type="dxa"/>
            <w:tcBorders>
              <w:top w:val="single" w:sz="4" w:space="0" w:color="auto"/>
              <w:left w:val="nil"/>
              <w:bottom w:val="single" w:sz="4" w:space="0" w:color="auto"/>
              <w:right w:val="nil"/>
            </w:tcBorders>
            <w:shd w:val="clear" w:color="000000" w:fill="FFFFFF"/>
            <w:noWrap/>
            <w:vAlign w:val="center"/>
          </w:tcPr>
          <w:p w14:paraId="5314C8B0" w14:textId="79B1C704" w:rsidR="005E46E0" w:rsidRPr="00C37E94" w:rsidRDefault="005E46E0" w:rsidP="005E46E0">
            <w:pPr>
              <w:spacing w:after="0" w:line="240" w:lineRule="auto"/>
              <w:jc w:val="right"/>
              <w:rPr>
                <w:rFonts w:ascii="Aptos" w:hAnsi="Aptos" w:cs="Calibri"/>
                <w:b/>
                <w:bCs/>
                <w:color w:val="000000"/>
                <w:sz w:val="20"/>
                <w:szCs w:val="20"/>
                <w:lang w:val="en-GB"/>
              </w:rPr>
            </w:pPr>
            <w:r w:rsidRPr="00C37E94">
              <w:rPr>
                <w:rFonts w:ascii="Aptos" w:hAnsi="Aptos" w:cs="Calibri"/>
                <w:b/>
                <w:bCs/>
                <w:color w:val="000000"/>
                <w:sz w:val="20"/>
                <w:szCs w:val="20"/>
              </w:rPr>
              <w:t>151</w:t>
            </w:r>
            <w:r w:rsidRPr="00C37E94">
              <w:rPr>
                <w:rFonts w:ascii="Aptos" w:hAnsi="Aptos" w:cs="Calibri"/>
                <w:b/>
                <w:bCs/>
                <w:color w:val="000000"/>
                <w:sz w:val="20"/>
                <w:szCs w:val="20"/>
                <w:lang w:val="en-US"/>
              </w:rPr>
              <w:t>.</w:t>
            </w:r>
            <w:r w:rsidRPr="00C37E94">
              <w:rPr>
                <w:rFonts w:ascii="Aptos" w:hAnsi="Aptos" w:cs="Calibri"/>
                <w:b/>
                <w:bCs/>
                <w:color w:val="000000"/>
                <w:sz w:val="20"/>
                <w:szCs w:val="20"/>
              </w:rPr>
              <w:t>366</w:t>
            </w:r>
          </w:p>
        </w:tc>
      </w:tr>
      <w:tr w:rsidR="005E46E0" w:rsidRPr="00BE5E19" w14:paraId="30E1FFB0" w14:textId="77777777" w:rsidTr="008006C2">
        <w:trPr>
          <w:trHeight w:val="300"/>
        </w:trPr>
        <w:tc>
          <w:tcPr>
            <w:tcW w:w="2829" w:type="dxa"/>
            <w:tcBorders>
              <w:top w:val="nil"/>
              <w:left w:val="nil"/>
              <w:bottom w:val="nil"/>
              <w:right w:val="nil"/>
            </w:tcBorders>
            <w:shd w:val="clear" w:color="000000" w:fill="FFFFFF"/>
            <w:vAlign w:val="center"/>
            <w:hideMark/>
          </w:tcPr>
          <w:p w14:paraId="19ECD206" w14:textId="63AEB0EA" w:rsidR="005E46E0" w:rsidRPr="00BE5E19" w:rsidRDefault="005E46E0" w:rsidP="005E46E0">
            <w:pPr>
              <w:spacing w:after="0" w:line="240" w:lineRule="auto"/>
              <w:jc w:val="both"/>
              <w:rPr>
                <w:rFonts w:ascii="Aptos" w:eastAsia="Times New Roman" w:hAnsi="Aptos"/>
                <w:color w:val="000000"/>
                <w:sz w:val="20"/>
                <w:szCs w:val="20"/>
                <w:lang w:val="en-GB" w:eastAsia="el-GR"/>
              </w:rPr>
            </w:pPr>
            <w:r w:rsidRPr="008B7319">
              <w:rPr>
                <w:color w:val="000000"/>
                <w:sz w:val="20"/>
                <w:szCs w:val="20"/>
              </w:rPr>
              <w:t>Χρηματοοικονομικά έσοδα</w:t>
            </w:r>
          </w:p>
        </w:tc>
        <w:tc>
          <w:tcPr>
            <w:tcW w:w="1134" w:type="dxa"/>
            <w:tcBorders>
              <w:top w:val="single" w:sz="4" w:space="0" w:color="auto"/>
              <w:left w:val="nil"/>
              <w:bottom w:val="nil"/>
              <w:right w:val="nil"/>
            </w:tcBorders>
            <w:shd w:val="clear" w:color="auto" w:fill="E2EFD9"/>
            <w:noWrap/>
          </w:tcPr>
          <w:p w14:paraId="2D41E36F" w14:textId="17383A29" w:rsidR="005E46E0" w:rsidRPr="00BE5E19" w:rsidRDefault="005E46E0" w:rsidP="005E46E0">
            <w:pPr>
              <w:spacing w:after="0" w:line="240" w:lineRule="auto"/>
              <w:jc w:val="right"/>
              <w:rPr>
                <w:rFonts w:ascii="Aptos" w:hAnsi="Aptos" w:cs="Calibri"/>
                <w:color w:val="000000"/>
                <w:sz w:val="20"/>
                <w:szCs w:val="20"/>
              </w:rPr>
            </w:pPr>
            <w:r w:rsidRPr="00BE5E19">
              <w:rPr>
                <w:rFonts w:ascii="Aptos" w:hAnsi="Aptos" w:cs="Calibri"/>
                <w:color w:val="000000"/>
                <w:sz w:val="20"/>
                <w:szCs w:val="20"/>
              </w:rPr>
              <w:t>1</w:t>
            </w:r>
            <w:r>
              <w:rPr>
                <w:rFonts w:ascii="Aptos" w:hAnsi="Aptos" w:cs="Calibri"/>
                <w:color w:val="000000"/>
                <w:sz w:val="20"/>
                <w:szCs w:val="20"/>
                <w:lang w:val="en-US"/>
              </w:rPr>
              <w:t>.</w:t>
            </w:r>
            <w:r>
              <w:rPr>
                <w:rFonts w:ascii="Aptos" w:hAnsi="Aptos" w:cs="Calibri"/>
                <w:color w:val="000000"/>
                <w:sz w:val="20"/>
                <w:szCs w:val="20"/>
              </w:rPr>
              <w:t>217</w:t>
            </w:r>
          </w:p>
        </w:tc>
        <w:tc>
          <w:tcPr>
            <w:tcW w:w="926" w:type="dxa"/>
            <w:tcBorders>
              <w:top w:val="single" w:sz="4" w:space="0" w:color="auto"/>
              <w:left w:val="nil"/>
              <w:bottom w:val="nil"/>
              <w:right w:val="nil"/>
            </w:tcBorders>
            <w:shd w:val="clear" w:color="000000" w:fill="FFFFFF"/>
            <w:noWrap/>
            <w:vAlign w:val="center"/>
          </w:tcPr>
          <w:p w14:paraId="53BED617" w14:textId="185FC2E2"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573</w:t>
            </w:r>
          </w:p>
        </w:tc>
        <w:tc>
          <w:tcPr>
            <w:tcW w:w="1030" w:type="dxa"/>
            <w:tcBorders>
              <w:top w:val="single" w:sz="4" w:space="0" w:color="auto"/>
              <w:left w:val="nil"/>
              <w:bottom w:val="nil"/>
              <w:right w:val="nil"/>
            </w:tcBorders>
            <w:shd w:val="clear" w:color="auto" w:fill="E2EFD9"/>
            <w:noWrap/>
            <w:vAlign w:val="center"/>
          </w:tcPr>
          <w:p w14:paraId="5B28161B" w14:textId="77987769"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583</w:t>
            </w:r>
          </w:p>
        </w:tc>
        <w:tc>
          <w:tcPr>
            <w:tcW w:w="1030" w:type="dxa"/>
            <w:tcBorders>
              <w:top w:val="single" w:sz="4" w:space="0" w:color="auto"/>
              <w:left w:val="nil"/>
              <w:bottom w:val="nil"/>
              <w:right w:val="nil"/>
            </w:tcBorders>
            <w:shd w:val="clear" w:color="000000" w:fill="FFFFFF"/>
            <w:noWrap/>
            <w:vAlign w:val="center"/>
          </w:tcPr>
          <w:p w14:paraId="2BE4FD46" w14:textId="67D0C045"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302</w:t>
            </w:r>
          </w:p>
        </w:tc>
        <w:tc>
          <w:tcPr>
            <w:tcW w:w="983" w:type="dxa"/>
            <w:tcBorders>
              <w:top w:val="single" w:sz="4" w:space="0" w:color="auto"/>
              <w:left w:val="nil"/>
              <w:bottom w:val="nil"/>
              <w:right w:val="nil"/>
            </w:tcBorders>
            <w:shd w:val="clear" w:color="auto" w:fill="E2EFD9"/>
            <w:noWrap/>
            <w:vAlign w:val="center"/>
          </w:tcPr>
          <w:p w14:paraId="0AD53CC0" w14:textId="31EF4933"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w:t>
            </w:r>
            <w:r>
              <w:rPr>
                <w:rFonts w:ascii="Aptos" w:hAnsi="Aptos" w:cs="Calibri"/>
                <w:color w:val="000000"/>
                <w:sz w:val="20"/>
                <w:szCs w:val="20"/>
                <w:lang w:val="en-US"/>
              </w:rPr>
              <w:t>.</w:t>
            </w:r>
            <w:r w:rsidRPr="00BE5E19">
              <w:rPr>
                <w:rFonts w:ascii="Aptos" w:hAnsi="Aptos" w:cs="Calibri"/>
                <w:color w:val="000000"/>
                <w:sz w:val="20"/>
                <w:szCs w:val="20"/>
              </w:rPr>
              <w:t>166</w:t>
            </w:r>
          </w:p>
        </w:tc>
        <w:tc>
          <w:tcPr>
            <w:tcW w:w="992" w:type="dxa"/>
            <w:tcBorders>
              <w:top w:val="single" w:sz="4" w:space="0" w:color="auto"/>
              <w:left w:val="nil"/>
              <w:bottom w:val="nil"/>
              <w:right w:val="nil"/>
            </w:tcBorders>
            <w:shd w:val="clear" w:color="000000" w:fill="FFFFFF"/>
            <w:noWrap/>
            <w:vAlign w:val="center"/>
          </w:tcPr>
          <w:p w14:paraId="31884ED1" w14:textId="2B86B13B"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w:t>
            </w:r>
            <w:r>
              <w:rPr>
                <w:rFonts w:ascii="Aptos" w:hAnsi="Aptos" w:cs="Calibri"/>
                <w:color w:val="000000"/>
                <w:sz w:val="20"/>
                <w:szCs w:val="20"/>
                <w:lang w:val="en-US"/>
              </w:rPr>
              <w:t>.</w:t>
            </w:r>
            <w:r w:rsidRPr="00BE5E19">
              <w:rPr>
                <w:rFonts w:ascii="Aptos" w:hAnsi="Aptos" w:cs="Calibri"/>
                <w:color w:val="000000"/>
                <w:sz w:val="20"/>
                <w:szCs w:val="20"/>
              </w:rPr>
              <w:t>809</w:t>
            </w:r>
          </w:p>
        </w:tc>
        <w:tc>
          <w:tcPr>
            <w:tcW w:w="1134" w:type="dxa"/>
            <w:tcBorders>
              <w:top w:val="single" w:sz="4" w:space="0" w:color="auto"/>
              <w:left w:val="nil"/>
              <w:bottom w:val="nil"/>
              <w:right w:val="nil"/>
            </w:tcBorders>
            <w:shd w:val="clear" w:color="auto" w:fill="E2EFD9"/>
            <w:noWrap/>
            <w:vAlign w:val="center"/>
          </w:tcPr>
          <w:p w14:paraId="55448330" w14:textId="122CC632" w:rsidR="005E46E0" w:rsidRPr="00BE5E19" w:rsidRDefault="005E46E0" w:rsidP="005E46E0">
            <w:pPr>
              <w:spacing w:after="0" w:line="240" w:lineRule="auto"/>
              <w:jc w:val="right"/>
              <w:rPr>
                <w:rFonts w:ascii="Aptos" w:hAnsi="Aptos" w:cs="Calibri"/>
                <w:color w:val="000000"/>
                <w:sz w:val="20"/>
                <w:szCs w:val="20"/>
                <w:lang w:val="en-GB"/>
              </w:rPr>
            </w:pPr>
            <w:r>
              <w:rPr>
                <w:rFonts w:ascii="Aptos" w:hAnsi="Aptos" w:cs="Calibri"/>
                <w:color w:val="000000"/>
                <w:sz w:val="20"/>
                <w:szCs w:val="20"/>
              </w:rPr>
              <w:t>4</w:t>
            </w:r>
            <w:r>
              <w:rPr>
                <w:rFonts w:ascii="Aptos" w:hAnsi="Aptos" w:cs="Calibri"/>
                <w:color w:val="000000"/>
                <w:sz w:val="20"/>
                <w:szCs w:val="20"/>
                <w:lang w:val="en-US"/>
              </w:rPr>
              <w:t>.</w:t>
            </w:r>
            <w:r>
              <w:rPr>
                <w:rFonts w:ascii="Aptos" w:hAnsi="Aptos" w:cs="Calibri"/>
                <w:color w:val="000000"/>
                <w:sz w:val="20"/>
                <w:szCs w:val="20"/>
              </w:rPr>
              <w:t>965</w:t>
            </w:r>
          </w:p>
        </w:tc>
        <w:tc>
          <w:tcPr>
            <w:tcW w:w="1134" w:type="dxa"/>
            <w:tcBorders>
              <w:top w:val="single" w:sz="4" w:space="0" w:color="auto"/>
              <w:left w:val="nil"/>
              <w:bottom w:val="nil"/>
              <w:right w:val="nil"/>
            </w:tcBorders>
            <w:shd w:val="clear" w:color="000000" w:fill="FFFFFF"/>
            <w:noWrap/>
            <w:vAlign w:val="center"/>
          </w:tcPr>
          <w:p w14:paraId="4069AB6B" w14:textId="3977F0EA"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w:t>
            </w:r>
            <w:r>
              <w:rPr>
                <w:rFonts w:ascii="Aptos" w:hAnsi="Aptos" w:cs="Calibri"/>
                <w:color w:val="000000"/>
                <w:sz w:val="20"/>
                <w:szCs w:val="20"/>
                <w:lang w:val="en-US"/>
              </w:rPr>
              <w:t>.</w:t>
            </w:r>
            <w:r w:rsidRPr="00BE5E19">
              <w:rPr>
                <w:rFonts w:ascii="Aptos" w:hAnsi="Aptos" w:cs="Calibri"/>
                <w:color w:val="000000"/>
                <w:sz w:val="20"/>
                <w:szCs w:val="20"/>
              </w:rPr>
              <w:t>685</w:t>
            </w:r>
          </w:p>
        </w:tc>
      </w:tr>
      <w:tr w:rsidR="005E46E0" w:rsidRPr="00BE5E19" w14:paraId="6C9B5D64" w14:textId="77777777" w:rsidTr="008006C2">
        <w:trPr>
          <w:trHeight w:val="300"/>
        </w:trPr>
        <w:tc>
          <w:tcPr>
            <w:tcW w:w="2829" w:type="dxa"/>
            <w:tcBorders>
              <w:top w:val="nil"/>
              <w:left w:val="nil"/>
              <w:bottom w:val="nil"/>
              <w:right w:val="nil"/>
            </w:tcBorders>
            <w:shd w:val="clear" w:color="000000" w:fill="FFFFFF"/>
            <w:vAlign w:val="center"/>
            <w:hideMark/>
          </w:tcPr>
          <w:p w14:paraId="691AD847" w14:textId="2788A48E" w:rsidR="005E46E0" w:rsidRPr="00BE5E19" w:rsidRDefault="005E46E0" w:rsidP="005E46E0">
            <w:pPr>
              <w:spacing w:after="0" w:line="240" w:lineRule="auto"/>
              <w:jc w:val="both"/>
              <w:rPr>
                <w:rFonts w:ascii="Aptos" w:eastAsia="Times New Roman" w:hAnsi="Aptos"/>
                <w:color w:val="000000"/>
                <w:sz w:val="20"/>
                <w:szCs w:val="20"/>
                <w:lang w:val="en-GB" w:eastAsia="el-GR"/>
              </w:rPr>
            </w:pPr>
            <w:r w:rsidRPr="008B7319">
              <w:rPr>
                <w:color w:val="000000"/>
                <w:sz w:val="20"/>
                <w:szCs w:val="20"/>
              </w:rPr>
              <w:t>Χρηματοοικονομικά έξοδα</w:t>
            </w:r>
          </w:p>
        </w:tc>
        <w:tc>
          <w:tcPr>
            <w:tcW w:w="1134" w:type="dxa"/>
            <w:tcBorders>
              <w:top w:val="nil"/>
              <w:left w:val="nil"/>
              <w:bottom w:val="nil"/>
              <w:right w:val="nil"/>
            </w:tcBorders>
            <w:shd w:val="clear" w:color="auto" w:fill="E2EFD9"/>
            <w:noWrap/>
          </w:tcPr>
          <w:p w14:paraId="45E817B9" w14:textId="0E8768DB" w:rsidR="005E46E0" w:rsidRPr="00BE5E19" w:rsidRDefault="005E46E0" w:rsidP="005E46E0">
            <w:pPr>
              <w:spacing w:after="0" w:line="240" w:lineRule="auto"/>
              <w:jc w:val="right"/>
              <w:rPr>
                <w:rFonts w:ascii="Aptos" w:hAnsi="Aptos" w:cs="Calibri"/>
                <w:color w:val="000000"/>
                <w:sz w:val="20"/>
                <w:szCs w:val="20"/>
              </w:rPr>
            </w:pPr>
            <w:r w:rsidRPr="00BE5E19">
              <w:rPr>
                <w:rFonts w:ascii="Aptos" w:hAnsi="Aptos" w:cs="Calibri"/>
                <w:color w:val="000000"/>
                <w:sz w:val="20"/>
                <w:szCs w:val="20"/>
              </w:rPr>
              <w:t>(22</w:t>
            </w:r>
            <w:r>
              <w:rPr>
                <w:rFonts w:ascii="Aptos" w:hAnsi="Aptos" w:cs="Calibri"/>
                <w:color w:val="000000"/>
                <w:sz w:val="20"/>
                <w:szCs w:val="20"/>
                <w:lang w:val="en-US"/>
              </w:rPr>
              <w:t>.</w:t>
            </w:r>
            <w:r>
              <w:rPr>
                <w:rFonts w:ascii="Aptos" w:hAnsi="Aptos" w:cs="Calibri"/>
                <w:color w:val="000000"/>
                <w:sz w:val="20"/>
                <w:szCs w:val="20"/>
              </w:rPr>
              <w:t>049</w:t>
            </w:r>
            <w:r w:rsidRPr="00BE5E19">
              <w:rPr>
                <w:rFonts w:ascii="Aptos" w:hAnsi="Aptos" w:cs="Calibri"/>
                <w:color w:val="000000"/>
                <w:sz w:val="20"/>
                <w:szCs w:val="20"/>
              </w:rPr>
              <w:t>)</w:t>
            </w:r>
          </w:p>
        </w:tc>
        <w:tc>
          <w:tcPr>
            <w:tcW w:w="926" w:type="dxa"/>
            <w:tcBorders>
              <w:top w:val="nil"/>
              <w:left w:val="nil"/>
              <w:bottom w:val="nil"/>
              <w:right w:val="nil"/>
            </w:tcBorders>
            <w:shd w:val="clear" w:color="000000" w:fill="FFFFFF"/>
            <w:noWrap/>
            <w:vAlign w:val="center"/>
          </w:tcPr>
          <w:p w14:paraId="73E2FEAD" w14:textId="1747BBE9"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(20</w:t>
            </w:r>
            <w:r>
              <w:rPr>
                <w:rFonts w:ascii="Aptos" w:hAnsi="Aptos" w:cs="Calibri"/>
                <w:color w:val="000000"/>
                <w:sz w:val="20"/>
                <w:szCs w:val="20"/>
                <w:lang w:val="en-US"/>
              </w:rPr>
              <w:t>.</w:t>
            </w:r>
            <w:r w:rsidRPr="00BE5E19">
              <w:rPr>
                <w:rFonts w:ascii="Aptos" w:hAnsi="Aptos" w:cs="Calibri"/>
                <w:color w:val="000000"/>
                <w:sz w:val="20"/>
                <w:szCs w:val="20"/>
              </w:rPr>
              <w:t>914)</w:t>
            </w:r>
          </w:p>
        </w:tc>
        <w:tc>
          <w:tcPr>
            <w:tcW w:w="1030" w:type="dxa"/>
            <w:tcBorders>
              <w:top w:val="nil"/>
              <w:left w:val="nil"/>
              <w:bottom w:val="nil"/>
              <w:right w:val="nil"/>
            </w:tcBorders>
            <w:shd w:val="clear" w:color="auto" w:fill="E2EFD9"/>
            <w:noWrap/>
            <w:vAlign w:val="center"/>
          </w:tcPr>
          <w:p w14:paraId="66513752" w14:textId="2B825F2B"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w:t>
            </w:r>
            <w:r>
              <w:rPr>
                <w:rFonts w:ascii="Aptos" w:hAnsi="Aptos" w:cs="Calibri"/>
                <w:color w:val="000000"/>
                <w:sz w:val="20"/>
                <w:szCs w:val="20"/>
                <w:lang w:val="en-US"/>
              </w:rPr>
              <w:t>.</w:t>
            </w:r>
            <w:r w:rsidRPr="00BE5E19">
              <w:rPr>
                <w:rFonts w:ascii="Aptos" w:hAnsi="Aptos" w:cs="Calibri"/>
                <w:color w:val="000000"/>
                <w:sz w:val="20"/>
                <w:szCs w:val="20"/>
              </w:rPr>
              <w:t>846)</w:t>
            </w:r>
          </w:p>
        </w:tc>
        <w:tc>
          <w:tcPr>
            <w:tcW w:w="1030" w:type="dxa"/>
            <w:tcBorders>
              <w:top w:val="nil"/>
              <w:left w:val="nil"/>
              <w:bottom w:val="nil"/>
              <w:right w:val="nil"/>
            </w:tcBorders>
            <w:shd w:val="clear" w:color="000000" w:fill="FFFFFF"/>
            <w:noWrap/>
            <w:vAlign w:val="center"/>
          </w:tcPr>
          <w:p w14:paraId="54C42406" w14:textId="1746A609"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w:t>
            </w:r>
            <w:r>
              <w:rPr>
                <w:rFonts w:ascii="Aptos" w:hAnsi="Aptos" w:cs="Calibri"/>
                <w:color w:val="000000"/>
                <w:sz w:val="20"/>
                <w:szCs w:val="20"/>
                <w:lang w:val="en-US"/>
              </w:rPr>
              <w:t>.</w:t>
            </w:r>
            <w:r w:rsidRPr="00BE5E19">
              <w:rPr>
                <w:rFonts w:ascii="Aptos" w:hAnsi="Aptos" w:cs="Calibri"/>
                <w:color w:val="000000"/>
                <w:sz w:val="20"/>
                <w:szCs w:val="20"/>
              </w:rPr>
              <w:t>311)</w:t>
            </w:r>
          </w:p>
        </w:tc>
        <w:tc>
          <w:tcPr>
            <w:tcW w:w="983" w:type="dxa"/>
            <w:tcBorders>
              <w:top w:val="nil"/>
              <w:left w:val="nil"/>
              <w:bottom w:val="nil"/>
              <w:right w:val="nil"/>
            </w:tcBorders>
            <w:shd w:val="clear" w:color="auto" w:fill="E2EFD9"/>
            <w:noWrap/>
            <w:vAlign w:val="center"/>
          </w:tcPr>
          <w:p w14:paraId="03A6CEDA" w14:textId="1E067AA6"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(10)</w:t>
            </w:r>
          </w:p>
        </w:tc>
        <w:tc>
          <w:tcPr>
            <w:tcW w:w="992" w:type="dxa"/>
            <w:tcBorders>
              <w:top w:val="nil"/>
              <w:left w:val="nil"/>
              <w:bottom w:val="nil"/>
              <w:right w:val="nil"/>
            </w:tcBorders>
            <w:shd w:val="clear" w:color="000000" w:fill="FFFFFF"/>
            <w:noWrap/>
            <w:vAlign w:val="center"/>
          </w:tcPr>
          <w:p w14:paraId="315A3E6A" w14:textId="5602FCBB"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(6</w:t>
            </w:r>
            <w:r>
              <w:rPr>
                <w:rFonts w:ascii="Aptos" w:hAnsi="Aptos" w:cs="Calibri"/>
                <w:color w:val="000000"/>
                <w:sz w:val="20"/>
                <w:szCs w:val="20"/>
                <w:lang w:val="en-US"/>
              </w:rPr>
              <w:t>.</w:t>
            </w:r>
            <w:r w:rsidRPr="00BE5E19">
              <w:rPr>
                <w:rFonts w:ascii="Aptos" w:hAnsi="Aptos" w:cs="Calibri"/>
                <w:color w:val="000000"/>
                <w:sz w:val="20"/>
                <w:szCs w:val="20"/>
              </w:rPr>
              <w:t>760)</w:t>
            </w:r>
          </w:p>
        </w:tc>
        <w:tc>
          <w:tcPr>
            <w:tcW w:w="1134" w:type="dxa"/>
            <w:tcBorders>
              <w:top w:val="nil"/>
              <w:left w:val="nil"/>
              <w:bottom w:val="nil"/>
              <w:right w:val="nil"/>
            </w:tcBorders>
            <w:shd w:val="clear" w:color="auto" w:fill="E2EFD9"/>
            <w:noWrap/>
            <w:vAlign w:val="center"/>
          </w:tcPr>
          <w:p w14:paraId="6E192B57" w14:textId="7DEE6A0F"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w:t>
            </w:r>
            <w:r>
              <w:rPr>
                <w:rFonts w:ascii="Aptos" w:hAnsi="Aptos" w:cs="Calibri"/>
                <w:color w:val="000000"/>
                <w:sz w:val="20"/>
                <w:szCs w:val="20"/>
              </w:rPr>
              <w:t>6</w:t>
            </w:r>
            <w:r>
              <w:rPr>
                <w:rFonts w:ascii="Aptos" w:hAnsi="Aptos" w:cs="Calibri"/>
                <w:color w:val="000000"/>
                <w:sz w:val="20"/>
                <w:szCs w:val="20"/>
                <w:lang w:val="en-US"/>
              </w:rPr>
              <w:t>.</w:t>
            </w:r>
            <w:r>
              <w:rPr>
                <w:rFonts w:ascii="Aptos" w:hAnsi="Aptos" w:cs="Calibri"/>
                <w:color w:val="000000"/>
                <w:sz w:val="20"/>
                <w:szCs w:val="20"/>
              </w:rPr>
              <w:t>905</w:t>
            </w:r>
            <w:r w:rsidRPr="00BE5E19">
              <w:rPr>
                <w:rFonts w:ascii="Aptos" w:hAnsi="Aptos" w:cs="Calibri"/>
                <w:color w:val="000000"/>
                <w:sz w:val="20"/>
                <w:szCs w:val="20"/>
              </w:rPr>
              <w:t>)</w:t>
            </w:r>
          </w:p>
        </w:tc>
        <w:tc>
          <w:tcPr>
            <w:tcW w:w="1134" w:type="dxa"/>
            <w:tcBorders>
              <w:top w:val="nil"/>
              <w:left w:val="nil"/>
              <w:bottom w:val="nil"/>
              <w:right w:val="nil"/>
            </w:tcBorders>
            <w:shd w:val="clear" w:color="000000" w:fill="FFFFFF"/>
            <w:noWrap/>
            <w:vAlign w:val="center"/>
          </w:tcPr>
          <w:p w14:paraId="56A0A9B5" w14:textId="522E79B4"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(32</w:t>
            </w:r>
            <w:r>
              <w:rPr>
                <w:rFonts w:ascii="Aptos" w:hAnsi="Aptos" w:cs="Calibri"/>
                <w:color w:val="000000"/>
                <w:sz w:val="20"/>
                <w:szCs w:val="20"/>
                <w:lang w:val="en-US"/>
              </w:rPr>
              <w:t>.</w:t>
            </w:r>
            <w:r w:rsidRPr="00BE5E19">
              <w:rPr>
                <w:rFonts w:ascii="Aptos" w:hAnsi="Aptos" w:cs="Calibri"/>
                <w:color w:val="000000"/>
                <w:sz w:val="20"/>
                <w:szCs w:val="20"/>
              </w:rPr>
              <w:t>985)</w:t>
            </w:r>
          </w:p>
        </w:tc>
      </w:tr>
      <w:tr w:rsidR="005E46E0" w:rsidRPr="00BE5E19" w14:paraId="6ACCE733" w14:textId="77777777" w:rsidTr="0025770E">
        <w:trPr>
          <w:trHeight w:val="300"/>
        </w:trPr>
        <w:tc>
          <w:tcPr>
            <w:tcW w:w="2829" w:type="dxa"/>
            <w:tcBorders>
              <w:top w:val="nil"/>
              <w:left w:val="nil"/>
              <w:bottom w:val="nil"/>
              <w:right w:val="nil"/>
            </w:tcBorders>
            <w:shd w:val="clear" w:color="000000" w:fill="FFFFFF"/>
            <w:vAlign w:val="center"/>
            <w:hideMark/>
          </w:tcPr>
          <w:p w14:paraId="1F5AC0F6" w14:textId="49BE2235" w:rsidR="005E46E0" w:rsidRPr="005E46E0" w:rsidRDefault="005E46E0" w:rsidP="005E46E0">
            <w:pPr>
              <w:spacing w:after="0" w:line="240" w:lineRule="auto"/>
              <w:jc w:val="both"/>
              <w:rPr>
                <w:rFonts w:ascii="Aptos" w:eastAsia="Times New Roman" w:hAnsi="Aptos"/>
                <w:color w:val="000000"/>
                <w:sz w:val="20"/>
                <w:szCs w:val="20"/>
                <w:lang w:eastAsia="el-GR"/>
              </w:rPr>
            </w:pPr>
            <w:r w:rsidRPr="008B7319">
              <w:rPr>
                <w:color w:val="000000"/>
                <w:sz w:val="20"/>
                <w:szCs w:val="20"/>
              </w:rPr>
              <w:t xml:space="preserve">Κέρδη </w:t>
            </w:r>
            <w:r>
              <w:rPr>
                <w:color w:val="000000"/>
                <w:sz w:val="20"/>
                <w:szCs w:val="20"/>
              </w:rPr>
              <w:t xml:space="preserve">/ </w:t>
            </w:r>
            <w:r w:rsidRPr="008B7319">
              <w:rPr>
                <w:color w:val="000000"/>
                <w:sz w:val="20"/>
                <w:szCs w:val="20"/>
              </w:rPr>
              <w:t>(ζημιές)</w:t>
            </w:r>
            <w:r>
              <w:rPr>
                <w:color w:val="000000"/>
                <w:sz w:val="20"/>
                <w:szCs w:val="20"/>
              </w:rPr>
              <w:t xml:space="preserve"> </w:t>
            </w:r>
            <w:r w:rsidRPr="008B7319">
              <w:rPr>
                <w:color w:val="000000"/>
                <w:sz w:val="20"/>
                <w:szCs w:val="20"/>
              </w:rPr>
              <w:t>από συγγενείς επιχειρήσεις, καθαρά από φόρους</w:t>
            </w:r>
          </w:p>
        </w:tc>
        <w:tc>
          <w:tcPr>
            <w:tcW w:w="1134" w:type="dxa"/>
            <w:tcBorders>
              <w:top w:val="nil"/>
              <w:left w:val="nil"/>
              <w:bottom w:val="nil"/>
              <w:right w:val="nil"/>
            </w:tcBorders>
            <w:shd w:val="clear" w:color="auto" w:fill="E2EFD9"/>
            <w:noWrap/>
            <w:vAlign w:val="center"/>
          </w:tcPr>
          <w:p w14:paraId="77A96C1D" w14:textId="332947DD" w:rsidR="005E46E0" w:rsidRPr="00BE5E19" w:rsidRDefault="005E46E0" w:rsidP="005E46E0">
            <w:pPr>
              <w:spacing w:after="0" w:line="240" w:lineRule="auto"/>
              <w:jc w:val="right"/>
              <w:rPr>
                <w:rFonts w:ascii="Aptos" w:hAnsi="Aptos" w:cs="Calibri"/>
                <w:color w:val="000000"/>
                <w:sz w:val="20"/>
                <w:szCs w:val="20"/>
                <w:lang w:val="en-US"/>
              </w:rPr>
            </w:pPr>
            <w:r>
              <w:rPr>
                <w:rFonts w:ascii="Aptos" w:hAnsi="Aptos" w:cs="Calibri"/>
                <w:color w:val="000000"/>
                <w:sz w:val="20"/>
                <w:szCs w:val="20"/>
                <w:lang w:val="en-US"/>
              </w:rPr>
              <w:t>-</w:t>
            </w:r>
          </w:p>
        </w:tc>
        <w:tc>
          <w:tcPr>
            <w:tcW w:w="926" w:type="dxa"/>
            <w:tcBorders>
              <w:top w:val="nil"/>
              <w:left w:val="nil"/>
              <w:bottom w:val="nil"/>
              <w:right w:val="nil"/>
            </w:tcBorders>
            <w:shd w:val="clear" w:color="000000" w:fill="FFFFFF"/>
            <w:noWrap/>
            <w:vAlign w:val="center"/>
          </w:tcPr>
          <w:p w14:paraId="39A59111" w14:textId="51B6A54D" w:rsidR="005E46E0" w:rsidRPr="00BE5E19" w:rsidRDefault="005E46E0" w:rsidP="005E46E0">
            <w:pPr>
              <w:spacing w:after="0" w:line="240" w:lineRule="auto"/>
              <w:jc w:val="right"/>
              <w:rPr>
                <w:rFonts w:ascii="Aptos" w:hAnsi="Aptos" w:cs="Calibri"/>
                <w:color w:val="000000"/>
                <w:sz w:val="20"/>
                <w:szCs w:val="20"/>
                <w:lang w:val="en-GB"/>
              </w:rPr>
            </w:pPr>
            <w:r>
              <w:rPr>
                <w:rFonts w:ascii="Aptos" w:hAnsi="Aptos" w:cs="Calibri"/>
                <w:color w:val="000000"/>
                <w:sz w:val="20"/>
                <w:szCs w:val="20"/>
                <w:lang w:val="en-US"/>
              </w:rPr>
              <w:t>-</w:t>
            </w:r>
            <w:r w:rsidRPr="00BE5E19">
              <w:rPr>
                <w:rFonts w:ascii="Aptos" w:hAnsi="Aptos" w:cs="Calibri"/>
                <w:color w:val="000000"/>
                <w:sz w:val="20"/>
                <w:szCs w:val="20"/>
                <w:lang w:val="en-US"/>
              </w:rPr>
              <w:t> </w:t>
            </w:r>
          </w:p>
        </w:tc>
        <w:tc>
          <w:tcPr>
            <w:tcW w:w="1030" w:type="dxa"/>
            <w:tcBorders>
              <w:top w:val="nil"/>
              <w:left w:val="nil"/>
              <w:bottom w:val="nil"/>
              <w:right w:val="nil"/>
            </w:tcBorders>
            <w:shd w:val="clear" w:color="auto" w:fill="E2EFD9"/>
            <w:noWrap/>
            <w:vAlign w:val="center"/>
          </w:tcPr>
          <w:p w14:paraId="1FBB0ED2" w14:textId="6C52D1B6"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(321)</w:t>
            </w:r>
          </w:p>
        </w:tc>
        <w:tc>
          <w:tcPr>
            <w:tcW w:w="1030" w:type="dxa"/>
            <w:tcBorders>
              <w:top w:val="nil"/>
              <w:left w:val="nil"/>
              <w:bottom w:val="nil"/>
              <w:right w:val="nil"/>
            </w:tcBorders>
            <w:shd w:val="clear" w:color="000000" w:fill="FFFFFF"/>
            <w:noWrap/>
            <w:vAlign w:val="center"/>
          </w:tcPr>
          <w:p w14:paraId="6634595D" w14:textId="4BE125A5"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295</w:t>
            </w:r>
          </w:p>
        </w:tc>
        <w:tc>
          <w:tcPr>
            <w:tcW w:w="983" w:type="dxa"/>
            <w:tcBorders>
              <w:top w:val="nil"/>
              <w:left w:val="nil"/>
              <w:bottom w:val="nil"/>
              <w:right w:val="nil"/>
            </w:tcBorders>
            <w:shd w:val="clear" w:color="auto" w:fill="E2EFD9"/>
            <w:noWrap/>
            <w:vAlign w:val="center"/>
          </w:tcPr>
          <w:p w14:paraId="01554524" w14:textId="51DD951F"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w:t>
            </w:r>
            <w:r>
              <w:rPr>
                <w:rFonts w:ascii="Aptos" w:hAnsi="Aptos" w:cs="Calibri"/>
                <w:color w:val="000000"/>
                <w:sz w:val="20"/>
                <w:szCs w:val="20"/>
                <w:lang w:val="en-US"/>
              </w:rPr>
              <w:t>.</w:t>
            </w:r>
            <w:r w:rsidRPr="00BE5E19">
              <w:rPr>
                <w:rFonts w:ascii="Aptos" w:hAnsi="Aptos" w:cs="Calibri"/>
                <w:color w:val="000000"/>
                <w:sz w:val="20"/>
                <w:szCs w:val="20"/>
              </w:rPr>
              <w:t>034</w:t>
            </w:r>
          </w:p>
        </w:tc>
        <w:tc>
          <w:tcPr>
            <w:tcW w:w="992" w:type="dxa"/>
            <w:tcBorders>
              <w:top w:val="nil"/>
              <w:left w:val="nil"/>
              <w:bottom w:val="nil"/>
              <w:right w:val="nil"/>
            </w:tcBorders>
            <w:shd w:val="clear" w:color="000000" w:fill="FFFFFF"/>
            <w:noWrap/>
            <w:vAlign w:val="center"/>
          </w:tcPr>
          <w:p w14:paraId="3F4A2F53" w14:textId="4C616701"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w:t>
            </w:r>
            <w:r>
              <w:rPr>
                <w:rFonts w:ascii="Aptos" w:hAnsi="Aptos" w:cs="Calibri"/>
                <w:color w:val="000000"/>
                <w:sz w:val="20"/>
                <w:szCs w:val="20"/>
                <w:lang w:val="en-US"/>
              </w:rPr>
              <w:t>.</w:t>
            </w:r>
            <w:r w:rsidRPr="00BE5E19">
              <w:rPr>
                <w:rFonts w:ascii="Aptos" w:hAnsi="Aptos" w:cs="Calibri"/>
                <w:color w:val="000000"/>
                <w:sz w:val="20"/>
                <w:szCs w:val="20"/>
              </w:rPr>
              <w:t>190</w:t>
            </w:r>
          </w:p>
        </w:tc>
        <w:tc>
          <w:tcPr>
            <w:tcW w:w="1134" w:type="dxa"/>
            <w:tcBorders>
              <w:top w:val="nil"/>
              <w:left w:val="nil"/>
              <w:bottom w:val="nil"/>
              <w:right w:val="nil"/>
            </w:tcBorders>
            <w:shd w:val="clear" w:color="auto" w:fill="E2EFD9"/>
            <w:noWrap/>
            <w:vAlign w:val="center"/>
          </w:tcPr>
          <w:p w14:paraId="1C06544E" w14:textId="6923AF7E"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713</w:t>
            </w:r>
          </w:p>
        </w:tc>
        <w:tc>
          <w:tcPr>
            <w:tcW w:w="1134" w:type="dxa"/>
            <w:tcBorders>
              <w:top w:val="nil"/>
              <w:left w:val="nil"/>
              <w:bottom w:val="nil"/>
              <w:right w:val="nil"/>
            </w:tcBorders>
            <w:shd w:val="clear" w:color="000000" w:fill="FFFFFF"/>
            <w:noWrap/>
            <w:vAlign w:val="center"/>
          </w:tcPr>
          <w:p w14:paraId="39DCE869" w14:textId="00469EE0"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w:t>
            </w:r>
            <w:r>
              <w:rPr>
                <w:rFonts w:ascii="Aptos" w:hAnsi="Aptos" w:cs="Calibri"/>
                <w:color w:val="000000"/>
                <w:sz w:val="20"/>
                <w:szCs w:val="20"/>
                <w:lang w:val="en-US"/>
              </w:rPr>
              <w:t>.</w:t>
            </w:r>
            <w:r w:rsidRPr="00BE5E19">
              <w:rPr>
                <w:rFonts w:ascii="Aptos" w:hAnsi="Aptos" w:cs="Calibri"/>
                <w:color w:val="000000"/>
                <w:sz w:val="20"/>
                <w:szCs w:val="20"/>
              </w:rPr>
              <w:t>484</w:t>
            </w:r>
          </w:p>
        </w:tc>
      </w:tr>
      <w:tr w:rsidR="005E46E0" w:rsidRPr="00BE5E19" w14:paraId="010934C1" w14:textId="77777777" w:rsidTr="008006C2">
        <w:trPr>
          <w:trHeight w:val="300"/>
        </w:trPr>
        <w:tc>
          <w:tcPr>
            <w:tcW w:w="2829" w:type="dxa"/>
            <w:tcBorders>
              <w:top w:val="nil"/>
              <w:left w:val="nil"/>
              <w:bottom w:val="nil"/>
              <w:right w:val="nil"/>
            </w:tcBorders>
            <w:shd w:val="clear" w:color="000000" w:fill="FFFFFF"/>
            <w:vAlign w:val="center"/>
            <w:hideMark/>
          </w:tcPr>
          <w:p w14:paraId="51CE6E50" w14:textId="2BC993E4" w:rsidR="005E46E0" w:rsidRPr="00BE5E19" w:rsidRDefault="005E46E0" w:rsidP="005E46E0">
            <w:pPr>
              <w:spacing w:after="0" w:line="240" w:lineRule="auto"/>
              <w:jc w:val="both"/>
              <w:rPr>
                <w:rFonts w:ascii="Aptos" w:eastAsia="Times New Roman" w:hAnsi="Aptos"/>
                <w:b/>
                <w:bCs/>
                <w:color w:val="000000"/>
                <w:sz w:val="20"/>
                <w:szCs w:val="20"/>
                <w:lang w:val="en-GB" w:eastAsia="el-GR"/>
              </w:rPr>
            </w:pPr>
            <w:r w:rsidRPr="008B7319">
              <w:rPr>
                <w:b/>
                <w:color w:val="000000"/>
                <w:sz w:val="20"/>
                <w:szCs w:val="20"/>
              </w:rPr>
              <w:t xml:space="preserve">Κέρδη </w:t>
            </w:r>
            <w:r w:rsidRPr="008B7319">
              <w:rPr>
                <w:rFonts w:eastAsia="Times New Roman"/>
                <w:b/>
                <w:bCs/>
                <w:color w:val="000000"/>
                <w:sz w:val="20"/>
                <w:szCs w:val="20"/>
                <w:lang w:eastAsia="el-GR"/>
              </w:rPr>
              <w:t xml:space="preserve">/ (ζημιές) </w:t>
            </w:r>
            <w:r w:rsidRPr="008B7319">
              <w:rPr>
                <w:b/>
                <w:color w:val="000000"/>
                <w:sz w:val="20"/>
                <w:szCs w:val="20"/>
              </w:rPr>
              <w:t>προ φόρων</w:t>
            </w:r>
          </w:p>
        </w:tc>
        <w:tc>
          <w:tcPr>
            <w:tcW w:w="1134" w:type="dxa"/>
            <w:tcBorders>
              <w:top w:val="single" w:sz="4" w:space="0" w:color="auto"/>
              <w:left w:val="nil"/>
              <w:bottom w:val="single" w:sz="4" w:space="0" w:color="auto"/>
              <w:right w:val="nil"/>
            </w:tcBorders>
            <w:shd w:val="clear" w:color="auto" w:fill="E2EFD9"/>
            <w:noWrap/>
          </w:tcPr>
          <w:p w14:paraId="776AC45B" w14:textId="331AF334" w:rsidR="005E46E0" w:rsidRPr="00BE5E19" w:rsidRDefault="005E46E0" w:rsidP="005E46E0">
            <w:pPr>
              <w:spacing w:after="0" w:line="240" w:lineRule="auto"/>
              <w:jc w:val="right"/>
              <w:rPr>
                <w:rFonts w:ascii="Aptos" w:hAnsi="Aptos" w:cs="Calibri"/>
                <w:b/>
                <w:bCs/>
                <w:color w:val="000000"/>
                <w:sz w:val="20"/>
                <w:szCs w:val="20"/>
              </w:rPr>
            </w:pPr>
            <w:r w:rsidRPr="00BE5E19">
              <w:rPr>
                <w:rFonts w:ascii="Aptos" w:hAnsi="Aptos" w:cs="Calibri"/>
                <w:b/>
                <w:bCs/>
                <w:color w:val="000000"/>
                <w:sz w:val="20"/>
                <w:szCs w:val="20"/>
              </w:rPr>
              <w:t>133</w:t>
            </w:r>
            <w:r>
              <w:rPr>
                <w:rFonts w:ascii="Aptos" w:hAnsi="Aptos" w:cs="Calibri"/>
                <w:b/>
                <w:bCs/>
                <w:color w:val="000000"/>
                <w:sz w:val="20"/>
                <w:szCs w:val="20"/>
                <w:lang w:val="en-US"/>
              </w:rPr>
              <w:t>.</w:t>
            </w:r>
            <w:r w:rsidRPr="00BE5E19">
              <w:rPr>
                <w:rFonts w:ascii="Aptos" w:hAnsi="Aptos" w:cs="Calibri"/>
                <w:b/>
                <w:bCs/>
                <w:color w:val="000000"/>
                <w:sz w:val="20"/>
                <w:szCs w:val="20"/>
              </w:rPr>
              <w:t>288</w:t>
            </w:r>
          </w:p>
        </w:tc>
        <w:tc>
          <w:tcPr>
            <w:tcW w:w="926" w:type="dxa"/>
            <w:tcBorders>
              <w:top w:val="single" w:sz="4" w:space="0" w:color="auto"/>
              <w:left w:val="nil"/>
              <w:bottom w:val="single" w:sz="4" w:space="0" w:color="auto"/>
              <w:right w:val="nil"/>
            </w:tcBorders>
            <w:shd w:val="clear" w:color="000000" w:fill="FFFFFF"/>
            <w:noWrap/>
            <w:vAlign w:val="center"/>
          </w:tcPr>
          <w:p w14:paraId="55FBDA55" w14:textId="5196C8E0"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87</w:t>
            </w:r>
            <w:r>
              <w:rPr>
                <w:rFonts w:ascii="Aptos" w:hAnsi="Aptos" w:cs="Calibri"/>
                <w:b/>
                <w:bCs/>
                <w:color w:val="000000"/>
                <w:sz w:val="20"/>
                <w:szCs w:val="20"/>
                <w:lang w:val="en-US"/>
              </w:rPr>
              <w:t>.</w:t>
            </w:r>
            <w:r w:rsidRPr="00BE5E19">
              <w:rPr>
                <w:rFonts w:ascii="Aptos" w:hAnsi="Aptos" w:cs="Calibri"/>
                <w:b/>
                <w:bCs/>
                <w:color w:val="000000"/>
                <w:sz w:val="20"/>
                <w:szCs w:val="20"/>
              </w:rPr>
              <w:t>844</w:t>
            </w:r>
          </w:p>
        </w:tc>
        <w:tc>
          <w:tcPr>
            <w:tcW w:w="1030" w:type="dxa"/>
            <w:tcBorders>
              <w:top w:val="single" w:sz="4" w:space="0" w:color="auto"/>
              <w:left w:val="nil"/>
              <w:bottom w:val="single" w:sz="4" w:space="0" w:color="auto"/>
              <w:right w:val="nil"/>
            </w:tcBorders>
            <w:shd w:val="clear" w:color="auto" w:fill="E2EFD9"/>
            <w:noWrap/>
            <w:vAlign w:val="center"/>
          </w:tcPr>
          <w:p w14:paraId="39F3D1B6" w14:textId="13D46F51"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41</w:t>
            </w:r>
            <w:r>
              <w:rPr>
                <w:rFonts w:ascii="Aptos" w:hAnsi="Aptos" w:cs="Calibri"/>
                <w:b/>
                <w:bCs/>
                <w:color w:val="000000"/>
                <w:sz w:val="20"/>
                <w:szCs w:val="20"/>
                <w:lang w:val="en-US"/>
              </w:rPr>
              <w:t>.</w:t>
            </w:r>
            <w:r w:rsidRPr="00BE5E19">
              <w:rPr>
                <w:rFonts w:ascii="Aptos" w:hAnsi="Aptos" w:cs="Calibri"/>
                <w:b/>
                <w:bCs/>
                <w:color w:val="000000"/>
                <w:sz w:val="20"/>
                <w:szCs w:val="20"/>
              </w:rPr>
              <w:t>108</w:t>
            </w:r>
          </w:p>
        </w:tc>
        <w:tc>
          <w:tcPr>
            <w:tcW w:w="1030" w:type="dxa"/>
            <w:tcBorders>
              <w:top w:val="single" w:sz="4" w:space="0" w:color="auto"/>
              <w:left w:val="nil"/>
              <w:bottom w:val="single" w:sz="4" w:space="0" w:color="auto"/>
              <w:right w:val="nil"/>
            </w:tcBorders>
            <w:shd w:val="clear" w:color="000000" w:fill="FFFFFF"/>
            <w:noWrap/>
            <w:vAlign w:val="center"/>
          </w:tcPr>
          <w:p w14:paraId="59C0FCFF" w14:textId="4DB90711"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40</w:t>
            </w:r>
            <w:r>
              <w:rPr>
                <w:rFonts w:ascii="Aptos" w:hAnsi="Aptos" w:cs="Calibri"/>
                <w:b/>
                <w:bCs/>
                <w:color w:val="000000"/>
                <w:sz w:val="20"/>
                <w:szCs w:val="20"/>
                <w:lang w:val="en-US"/>
              </w:rPr>
              <w:t>.</w:t>
            </w:r>
            <w:r w:rsidRPr="00BE5E19">
              <w:rPr>
                <w:rFonts w:ascii="Aptos" w:hAnsi="Aptos" w:cs="Calibri"/>
                <w:b/>
                <w:bCs/>
                <w:color w:val="000000"/>
                <w:sz w:val="20"/>
                <w:szCs w:val="20"/>
              </w:rPr>
              <w:t>189</w:t>
            </w:r>
          </w:p>
        </w:tc>
        <w:tc>
          <w:tcPr>
            <w:tcW w:w="983" w:type="dxa"/>
            <w:tcBorders>
              <w:top w:val="single" w:sz="4" w:space="0" w:color="auto"/>
              <w:left w:val="nil"/>
              <w:bottom w:val="single" w:sz="4" w:space="0" w:color="auto"/>
              <w:right w:val="nil"/>
            </w:tcBorders>
            <w:shd w:val="clear" w:color="auto" w:fill="E2EFD9"/>
            <w:noWrap/>
            <w:vAlign w:val="center"/>
          </w:tcPr>
          <w:p w14:paraId="5BB6A039" w14:textId="11DC3BA6"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2</w:t>
            </w:r>
            <w:r>
              <w:rPr>
                <w:rFonts w:ascii="Aptos" w:hAnsi="Aptos" w:cs="Calibri"/>
                <w:b/>
                <w:bCs/>
                <w:color w:val="000000"/>
                <w:sz w:val="20"/>
                <w:szCs w:val="20"/>
                <w:lang w:val="en-US"/>
              </w:rPr>
              <w:t>.</w:t>
            </w:r>
            <w:r w:rsidRPr="00BE5E19">
              <w:rPr>
                <w:rFonts w:ascii="Aptos" w:hAnsi="Aptos" w:cs="Calibri"/>
                <w:b/>
                <w:bCs/>
                <w:color w:val="000000"/>
                <w:sz w:val="20"/>
                <w:szCs w:val="20"/>
              </w:rPr>
              <w:t>609</w:t>
            </w:r>
          </w:p>
        </w:tc>
        <w:tc>
          <w:tcPr>
            <w:tcW w:w="992" w:type="dxa"/>
            <w:tcBorders>
              <w:top w:val="single" w:sz="4" w:space="0" w:color="auto"/>
              <w:left w:val="nil"/>
              <w:bottom w:val="single" w:sz="4" w:space="0" w:color="auto"/>
              <w:right w:val="nil"/>
            </w:tcBorders>
            <w:shd w:val="clear" w:color="000000" w:fill="FFFFFF"/>
            <w:noWrap/>
            <w:vAlign w:val="center"/>
          </w:tcPr>
          <w:p w14:paraId="082D7F88" w14:textId="179A5855"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(4</w:t>
            </w:r>
            <w:r>
              <w:rPr>
                <w:rFonts w:ascii="Aptos" w:hAnsi="Aptos" w:cs="Calibri"/>
                <w:b/>
                <w:bCs/>
                <w:color w:val="000000"/>
                <w:sz w:val="20"/>
                <w:szCs w:val="20"/>
                <w:lang w:val="en-US"/>
              </w:rPr>
              <w:t>.</w:t>
            </w:r>
            <w:r w:rsidRPr="00BE5E19">
              <w:rPr>
                <w:rFonts w:ascii="Aptos" w:hAnsi="Aptos" w:cs="Calibri"/>
                <w:b/>
                <w:bCs/>
                <w:color w:val="000000"/>
                <w:sz w:val="20"/>
                <w:szCs w:val="20"/>
              </w:rPr>
              <w:t>483)</w:t>
            </w:r>
          </w:p>
        </w:tc>
        <w:tc>
          <w:tcPr>
            <w:tcW w:w="1134" w:type="dxa"/>
            <w:tcBorders>
              <w:top w:val="single" w:sz="4" w:space="0" w:color="auto"/>
              <w:left w:val="nil"/>
              <w:bottom w:val="single" w:sz="4" w:space="0" w:color="auto"/>
              <w:right w:val="nil"/>
            </w:tcBorders>
            <w:shd w:val="clear" w:color="auto" w:fill="E2EFD9"/>
            <w:noWrap/>
            <w:vAlign w:val="center"/>
          </w:tcPr>
          <w:p w14:paraId="54822932" w14:textId="2A91970B"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177</w:t>
            </w:r>
            <w:r>
              <w:rPr>
                <w:rFonts w:ascii="Aptos" w:hAnsi="Aptos" w:cs="Calibri"/>
                <w:b/>
                <w:bCs/>
                <w:color w:val="000000"/>
                <w:sz w:val="20"/>
                <w:szCs w:val="20"/>
                <w:lang w:val="en-US"/>
              </w:rPr>
              <w:t>.</w:t>
            </w:r>
            <w:r w:rsidRPr="00BE5E19">
              <w:rPr>
                <w:rFonts w:ascii="Aptos" w:hAnsi="Aptos" w:cs="Calibri"/>
                <w:b/>
                <w:bCs/>
                <w:color w:val="000000"/>
                <w:sz w:val="20"/>
                <w:szCs w:val="20"/>
              </w:rPr>
              <w:t>006</w:t>
            </w:r>
          </w:p>
        </w:tc>
        <w:tc>
          <w:tcPr>
            <w:tcW w:w="1134" w:type="dxa"/>
            <w:tcBorders>
              <w:top w:val="single" w:sz="4" w:space="0" w:color="auto"/>
              <w:left w:val="nil"/>
              <w:bottom w:val="single" w:sz="4" w:space="0" w:color="auto"/>
              <w:right w:val="nil"/>
            </w:tcBorders>
            <w:shd w:val="clear" w:color="000000" w:fill="FFFFFF"/>
            <w:noWrap/>
            <w:vAlign w:val="center"/>
          </w:tcPr>
          <w:p w14:paraId="20734420" w14:textId="14436959"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123</w:t>
            </w:r>
            <w:r>
              <w:rPr>
                <w:rFonts w:ascii="Aptos" w:hAnsi="Aptos" w:cs="Calibri"/>
                <w:b/>
                <w:bCs/>
                <w:color w:val="000000"/>
                <w:sz w:val="20"/>
                <w:szCs w:val="20"/>
                <w:lang w:val="en-US"/>
              </w:rPr>
              <w:t>.</w:t>
            </w:r>
            <w:r w:rsidRPr="00BE5E19">
              <w:rPr>
                <w:rFonts w:ascii="Aptos" w:hAnsi="Aptos" w:cs="Calibri"/>
                <w:b/>
                <w:bCs/>
                <w:color w:val="000000"/>
                <w:sz w:val="20"/>
                <w:szCs w:val="20"/>
              </w:rPr>
              <w:t>550</w:t>
            </w:r>
          </w:p>
        </w:tc>
      </w:tr>
      <w:tr w:rsidR="005E46E0" w:rsidRPr="00BE5E19" w14:paraId="2D22EDDF" w14:textId="77777777" w:rsidTr="008006C2">
        <w:trPr>
          <w:trHeight w:val="300"/>
        </w:trPr>
        <w:tc>
          <w:tcPr>
            <w:tcW w:w="2829" w:type="dxa"/>
            <w:tcBorders>
              <w:top w:val="nil"/>
              <w:left w:val="nil"/>
              <w:bottom w:val="nil"/>
              <w:right w:val="nil"/>
            </w:tcBorders>
            <w:shd w:val="clear" w:color="000000" w:fill="FFFFFF"/>
            <w:vAlign w:val="center"/>
            <w:hideMark/>
          </w:tcPr>
          <w:p w14:paraId="59397B45" w14:textId="5439E0D4" w:rsidR="005E46E0" w:rsidRPr="00BE5E19" w:rsidRDefault="005E46E0" w:rsidP="005E46E0">
            <w:pPr>
              <w:spacing w:after="0" w:line="240" w:lineRule="auto"/>
              <w:jc w:val="both"/>
              <w:rPr>
                <w:rFonts w:ascii="Aptos" w:eastAsia="Times New Roman" w:hAnsi="Aptos"/>
                <w:color w:val="000000"/>
                <w:sz w:val="20"/>
                <w:szCs w:val="20"/>
                <w:lang w:val="en-GB" w:eastAsia="el-GR"/>
              </w:rPr>
            </w:pPr>
            <w:r w:rsidRPr="008B7319">
              <w:rPr>
                <w:color w:val="000000"/>
                <w:sz w:val="20"/>
                <w:szCs w:val="20"/>
              </w:rPr>
              <w:t>Φόρος εισοδήματος</w:t>
            </w:r>
          </w:p>
        </w:tc>
        <w:tc>
          <w:tcPr>
            <w:tcW w:w="1134" w:type="dxa"/>
            <w:tcBorders>
              <w:top w:val="nil"/>
              <w:left w:val="nil"/>
              <w:bottom w:val="nil"/>
              <w:right w:val="nil"/>
            </w:tcBorders>
            <w:shd w:val="clear" w:color="auto" w:fill="E2EFD9"/>
            <w:noWrap/>
          </w:tcPr>
          <w:p w14:paraId="0D3AF7E3" w14:textId="52A1CCD9" w:rsidR="005E46E0" w:rsidRPr="00BE5E19" w:rsidRDefault="005E46E0" w:rsidP="005E46E0">
            <w:pPr>
              <w:spacing w:after="0" w:line="240" w:lineRule="auto"/>
              <w:jc w:val="right"/>
              <w:rPr>
                <w:rFonts w:ascii="Aptos" w:hAnsi="Aptos" w:cs="Calibri"/>
                <w:color w:val="000000"/>
                <w:sz w:val="20"/>
                <w:szCs w:val="20"/>
              </w:rPr>
            </w:pPr>
            <w:r w:rsidRPr="00BE5E19">
              <w:rPr>
                <w:rFonts w:ascii="Aptos" w:hAnsi="Aptos" w:cs="Calibri"/>
                <w:color w:val="000000"/>
                <w:sz w:val="20"/>
                <w:szCs w:val="20"/>
              </w:rPr>
              <w:t>(29</w:t>
            </w:r>
            <w:r>
              <w:rPr>
                <w:rFonts w:ascii="Aptos" w:hAnsi="Aptos" w:cs="Calibri"/>
                <w:color w:val="000000"/>
                <w:sz w:val="20"/>
                <w:szCs w:val="20"/>
                <w:lang w:val="en-US"/>
              </w:rPr>
              <w:t>.</w:t>
            </w:r>
            <w:r w:rsidRPr="00BE5E19">
              <w:rPr>
                <w:rFonts w:ascii="Aptos" w:hAnsi="Aptos" w:cs="Calibri"/>
                <w:color w:val="000000"/>
                <w:sz w:val="20"/>
                <w:szCs w:val="20"/>
              </w:rPr>
              <w:t>407)</w:t>
            </w:r>
          </w:p>
        </w:tc>
        <w:tc>
          <w:tcPr>
            <w:tcW w:w="926" w:type="dxa"/>
            <w:tcBorders>
              <w:top w:val="nil"/>
              <w:left w:val="nil"/>
              <w:bottom w:val="nil"/>
              <w:right w:val="nil"/>
            </w:tcBorders>
            <w:shd w:val="clear" w:color="000000" w:fill="FFFFFF"/>
            <w:noWrap/>
            <w:vAlign w:val="center"/>
          </w:tcPr>
          <w:p w14:paraId="2A447B09" w14:textId="7B03D270"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(20</w:t>
            </w:r>
            <w:r>
              <w:rPr>
                <w:rFonts w:ascii="Aptos" w:hAnsi="Aptos" w:cs="Calibri"/>
                <w:color w:val="000000"/>
                <w:sz w:val="20"/>
                <w:szCs w:val="20"/>
                <w:lang w:val="en-US"/>
              </w:rPr>
              <w:t>.</w:t>
            </w:r>
            <w:r w:rsidRPr="00BE5E19">
              <w:rPr>
                <w:rFonts w:ascii="Aptos" w:hAnsi="Aptos" w:cs="Calibri"/>
                <w:color w:val="000000"/>
                <w:sz w:val="20"/>
                <w:szCs w:val="20"/>
              </w:rPr>
              <w:t>716)</w:t>
            </w:r>
          </w:p>
        </w:tc>
        <w:tc>
          <w:tcPr>
            <w:tcW w:w="1030" w:type="dxa"/>
            <w:tcBorders>
              <w:top w:val="nil"/>
              <w:left w:val="nil"/>
              <w:bottom w:val="nil"/>
              <w:right w:val="nil"/>
            </w:tcBorders>
            <w:shd w:val="clear" w:color="auto" w:fill="E2EFD9"/>
            <w:noWrap/>
            <w:vAlign w:val="center"/>
          </w:tcPr>
          <w:p w14:paraId="2030CB42" w14:textId="5C8EEAE4"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(9</w:t>
            </w:r>
            <w:r>
              <w:rPr>
                <w:rFonts w:ascii="Aptos" w:hAnsi="Aptos" w:cs="Calibri"/>
                <w:color w:val="000000"/>
                <w:sz w:val="20"/>
                <w:szCs w:val="20"/>
                <w:lang w:val="en-US"/>
              </w:rPr>
              <w:t>.</w:t>
            </w:r>
            <w:r w:rsidRPr="00BE5E19">
              <w:rPr>
                <w:rFonts w:ascii="Aptos" w:hAnsi="Aptos" w:cs="Calibri"/>
                <w:color w:val="000000"/>
                <w:sz w:val="20"/>
                <w:szCs w:val="20"/>
              </w:rPr>
              <w:t>787)</w:t>
            </w:r>
          </w:p>
        </w:tc>
        <w:tc>
          <w:tcPr>
            <w:tcW w:w="1030" w:type="dxa"/>
            <w:tcBorders>
              <w:top w:val="nil"/>
              <w:left w:val="nil"/>
              <w:bottom w:val="single" w:sz="4" w:space="0" w:color="auto"/>
              <w:right w:val="nil"/>
            </w:tcBorders>
            <w:shd w:val="clear" w:color="000000" w:fill="FFFFFF"/>
            <w:noWrap/>
            <w:vAlign w:val="center"/>
          </w:tcPr>
          <w:p w14:paraId="0AF2654B" w14:textId="140F830C"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(7</w:t>
            </w:r>
            <w:r>
              <w:rPr>
                <w:rFonts w:ascii="Aptos" w:hAnsi="Aptos" w:cs="Calibri"/>
                <w:color w:val="000000"/>
                <w:sz w:val="20"/>
                <w:szCs w:val="20"/>
                <w:lang w:val="en-US"/>
              </w:rPr>
              <w:t>.</w:t>
            </w:r>
            <w:r w:rsidRPr="00BE5E19">
              <w:rPr>
                <w:rFonts w:ascii="Aptos" w:hAnsi="Aptos" w:cs="Calibri"/>
                <w:color w:val="000000"/>
                <w:sz w:val="20"/>
                <w:szCs w:val="20"/>
              </w:rPr>
              <w:t>578)</w:t>
            </w:r>
          </w:p>
        </w:tc>
        <w:tc>
          <w:tcPr>
            <w:tcW w:w="983" w:type="dxa"/>
            <w:tcBorders>
              <w:top w:val="nil"/>
              <w:left w:val="nil"/>
              <w:bottom w:val="nil"/>
              <w:right w:val="nil"/>
            </w:tcBorders>
            <w:shd w:val="clear" w:color="auto" w:fill="E2EFD9"/>
            <w:noWrap/>
            <w:vAlign w:val="center"/>
          </w:tcPr>
          <w:p w14:paraId="10249836" w14:textId="321A52BA"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b/>
                <w:bCs/>
                <w:color w:val="000000"/>
                <w:sz w:val="20"/>
                <w:szCs w:val="20"/>
                <w:lang w:val="en-US"/>
              </w:rPr>
              <w:t>-</w:t>
            </w:r>
          </w:p>
        </w:tc>
        <w:tc>
          <w:tcPr>
            <w:tcW w:w="992" w:type="dxa"/>
            <w:tcBorders>
              <w:top w:val="nil"/>
              <w:left w:val="nil"/>
              <w:bottom w:val="nil"/>
              <w:right w:val="nil"/>
            </w:tcBorders>
            <w:shd w:val="clear" w:color="000000" w:fill="FFFFFF"/>
            <w:noWrap/>
            <w:vAlign w:val="center"/>
          </w:tcPr>
          <w:p w14:paraId="66EFF84D" w14:textId="69C7C4DD" w:rsidR="005E46E0" w:rsidRPr="00BE5E19" w:rsidRDefault="005E46E0" w:rsidP="005E46E0">
            <w:pPr>
              <w:spacing w:after="0" w:line="240" w:lineRule="auto"/>
              <w:jc w:val="right"/>
              <w:rPr>
                <w:rFonts w:ascii="Aptos" w:hAnsi="Aptos" w:cs="Calibri"/>
                <w:color w:val="000000"/>
                <w:sz w:val="20"/>
                <w:szCs w:val="20"/>
                <w:lang w:val="en-US"/>
              </w:rPr>
            </w:pPr>
            <w:r w:rsidRPr="00BE5E19">
              <w:rPr>
                <w:rFonts w:ascii="Aptos" w:hAnsi="Aptos" w:cs="Calibri"/>
                <w:b/>
                <w:bCs/>
                <w:color w:val="000000"/>
                <w:sz w:val="20"/>
                <w:szCs w:val="20"/>
                <w:lang w:val="en-US"/>
              </w:rPr>
              <w:t>-</w:t>
            </w:r>
            <w:r w:rsidRPr="00BE5E19">
              <w:rPr>
                <w:rFonts w:ascii="Aptos" w:hAnsi="Aptos" w:cs="Calibri"/>
                <w:color w:val="000000"/>
                <w:sz w:val="20"/>
                <w:szCs w:val="20"/>
              </w:rPr>
              <w:t> </w:t>
            </w:r>
          </w:p>
        </w:tc>
        <w:tc>
          <w:tcPr>
            <w:tcW w:w="1134" w:type="dxa"/>
            <w:tcBorders>
              <w:top w:val="nil"/>
              <w:left w:val="nil"/>
              <w:bottom w:val="nil"/>
              <w:right w:val="nil"/>
            </w:tcBorders>
            <w:shd w:val="clear" w:color="auto" w:fill="E2EFD9"/>
            <w:noWrap/>
            <w:vAlign w:val="center"/>
          </w:tcPr>
          <w:p w14:paraId="1F159404" w14:textId="22E87109"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(39</w:t>
            </w:r>
            <w:r>
              <w:rPr>
                <w:rFonts w:ascii="Aptos" w:hAnsi="Aptos" w:cs="Calibri"/>
                <w:color w:val="000000"/>
                <w:sz w:val="20"/>
                <w:szCs w:val="20"/>
                <w:lang w:val="en-US"/>
              </w:rPr>
              <w:t>.</w:t>
            </w:r>
            <w:r w:rsidRPr="00BE5E19">
              <w:rPr>
                <w:rFonts w:ascii="Aptos" w:hAnsi="Aptos" w:cs="Calibri"/>
                <w:color w:val="000000"/>
                <w:sz w:val="20"/>
                <w:szCs w:val="20"/>
              </w:rPr>
              <w:t>195)</w:t>
            </w:r>
          </w:p>
        </w:tc>
        <w:tc>
          <w:tcPr>
            <w:tcW w:w="1134" w:type="dxa"/>
            <w:tcBorders>
              <w:top w:val="nil"/>
              <w:left w:val="nil"/>
              <w:bottom w:val="nil"/>
              <w:right w:val="nil"/>
            </w:tcBorders>
            <w:shd w:val="clear" w:color="000000" w:fill="FFFFFF"/>
            <w:noWrap/>
            <w:vAlign w:val="center"/>
          </w:tcPr>
          <w:p w14:paraId="19DC2277" w14:textId="55C8689A" w:rsidR="005E46E0" w:rsidRPr="00BE5E19" w:rsidRDefault="005E46E0" w:rsidP="005E46E0">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(28</w:t>
            </w:r>
            <w:r>
              <w:rPr>
                <w:rFonts w:ascii="Aptos" w:hAnsi="Aptos" w:cs="Calibri"/>
                <w:color w:val="000000"/>
                <w:sz w:val="20"/>
                <w:szCs w:val="20"/>
                <w:lang w:val="en-US"/>
              </w:rPr>
              <w:t>.</w:t>
            </w:r>
            <w:r w:rsidRPr="00BE5E19">
              <w:rPr>
                <w:rFonts w:ascii="Aptos" w:hAnsi="Aptos" w:cs="Calibri"/>
                <w:color w:val="000000"/>
                <w:sz w:val="20"/>
                <w:szCs w:val="20"/>
              </w:rPr>
              <w:t>294)</w:t>
            </w:r>
          </w:p>
        </w:tc>
      </w:tr>
      <w:tr w:rsidR="005E46E0" w:rsidRPr="00BE5E19" w14:paraId="53178465" w14:textId="77777777" w:rsidTr="008006C2">
        <w:trPr>
          <w:trHeight w:val="315"/>
        </w:trPr>
        <w:tc>
          <w:tcPr>
            <w:tcW w:w="2829" w:type="dxa"/>
            <w:tcBorders>
              <w:top w:val="nil"/>
              <w:left w:val="nil"/>
              <w:bottom w:val="nil"/>
              <w:right w:val="nil"/>
            </w:tcBorders>
            <w:shd w:val="clear" w:color="000000" w:fill="FFFFFF"/>
            <w:vAlign w:val="center"/>
            <w:hideMark/>
          </w:tcPr>
          <w:p w14:paraId="300C5828" w14:textId="1773D48B" w:rsidR="005E46E0" w:rsidRPr="00BE5E19" w:rsidRDefault="005E46E0" w:rsidP="005E46E0">
            <w:pPr>
              <w:spacing w:after="0" w:line="240" w:lineRule="auto"/>
              <w:rPr>
                <w:rFonts w:ascii="Aptos" w:eastAsia="Times New Roman" w:hAnsi="Aptos"/>
                <w:b/>
                <w:bCs/>
                <w:color w:val="000000"/>
                <w:sz w:val="20"/>
                <w:szCs w:val="20"/>
                <w:lang w:val="en-GB" w:eastAsia="el-GR"/>
              </w:rPr>
            </w:pPr>
            <w:r w:rsidRPr="008B7319">
              <w:rPr>
                <w:b/>
                <w:color w:val="000000"/>
                <w:sz w:val="20"/>
                <w:szCs w:val="20"/>
              </w:rPr>
              <w:t xml:space="preserve">Κέρδη </w:t>
            </w:r>
            <w:r w:rsidRPr="008B7319">
              <w:rPr>
                <w:rFonts w:eastAsia="Times New Roman"/>
                <w:b/>
                <w:bCs/>
                <w:color w:val="000000"/>
                <w:sz w:val="20"/>
                <w:szCs w:val="20"/>
                <w:lang w:eastAsia="el-GR"/>
              </w:rPr>
              <w:t xml:space="preserve">/ (ζημιές) </w:t>
            </w:r>
            <w:r w:rsidRPr="008B7319">
              <w:rPr>
                <w:b/>
                <w:color w:val="000000"/>
                <w:sz w:val="20"/>
                <w:szCs w:val="20"/>
              </w:rPr>
              <w:t>μετά φόρων</w:t>
            </w:r>
          </w:p>
        </w:tc>
        <w:tc>
          <w:tcPr>
            <w:tcW w:w="1134" w:type="dxa"/>
            <w:tcBorders>
              <w:top w:val="single" w:sz="4" w:space="0" w:color="auto"/>
              <w:left w:val="nil"/>
              <w:bottom w:val="single" w:sz="8" w:space="0" w:color="auto"/>
              <w:right w:val="nil"/>
            </w:tcBorders>
            <w:shd w:val="clear" w:color="auto" w:fill="E2EFD9"/>
            <w:noWrap/>
          </w:tcPr>
          <w:p w14:paraId="649ECFB2" w14:textId="41E70B60" w:rsidR="005E46E0" w:rsidRPr="00BE5E19" w:rsidRDefault="005E46E0" w:rsidP="005E46E0">
            <w:pPr>
              <w:spacing w:after="0" w:line="240" w:lineRule="auto"/>
              <w:jc w:val="right"/>
              <w:rPr>
                <w:rFonts w:ascii="Aptos" w:hAnsi="Aptos" w:cs="Calibri"/>
                <w:b/>
                <w:bCs/>
                <w:color w:val="000000"/>
                <w:sz w:val="20"/>
                <w:szCs w:val="20"/>
              </w:rPr>
            </w:pPr>
            <w:r w:rsidRPr="00BE5E19">
              <w:rPr>
                <w:rFonts w:ascii="Aptos" w:hAnsi="Aptos" w:cs="Calibri"/>
                <w:b/>
                <w:bCs/>
                <w:color w:val="000000"/>
                <w:sz w:val="20"/>
                <w:szCs w:val="20"/>
              </w:rPr>
              <w:t>103</w:t>
            </w:r>
            <w:r>
              <w:rPr>
                <w:rFonts w:ascii="Aptos" w:hAnsi="Aptos" w:cs="Calibri"/>
                <w:b/>
                <w:bCs/>
                <w:color w:val="000000"/>
                <w:sz w:val="20"/>
                <w:szCs w:val="20"/>
                <w:lang w:val="en-US"/>
              </w:rPr>
              <w:t>.</w:t>
            </w:r>
            <w:r w:rsidRPr="00BE5E19">
              <w:rPr>
                <w:rFonts w:ascii="Aptos" w:hAnsi="Aptos" w:cs="Calibri"/>
                <w:b/>
                <w:bCs/>
                <w:color w:val="000000"/>
                <w:sz w:val="20"/>
                <w:szCs w:val="20"/>
              </w:rPr>
              <w:t>881</w:t>
            </w:r>
          </w:p>
        </w:tc>
        <w:tc>
          <w:tcPr>
            <w:tcW w:w="926" w:type="dxa"/>
            <w:tcBorders>
              <w:top w:val="single" w:sz="4" w:space="0" w:color="auto"/>
              <w:left w:val="nil"/>
              <w:bottom w:val="single" w:sz="8" w:space="0" w:color="auto"/>
              <w:right w:val="nil"/>
            </w:tcBorders>
            <w:shd w:val="clear" w:color="000000" w:fill="FFFFFF"/>
            <w:noWrap/>
            <w:vAlign w:val="center"/>
          </w:tcPr>
          <w:p w14:paraId="3B92BF59" w14:textId="76364C85"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67</w:t>
            </w:r>
            <w:r>
              <w:rPr>
                <w:rFonts w:ascii="Aptos" w:hAnsi="Aptos" w:cs="Calibri"/>
                <w:b/>
                <w:bCs/>
                <w:color w:val="000000"/>
                <w:sz w:val="20"/>
                <w:szCs w:val="20"/>
                <w:lang w:val="en-US"/>
              </w:rPr>
              <w:t>.</w:t>
            </w:r>
            <w:r w:rsidRPr="00BE5E19">
              <w:rPr>
                <w:rFonts w:ascii="Aptos" w:hAnsi="Aptos" w:cs="Calibri"/>
                <w:b/>
                <w:bCs/>
                <w:color w:val="000000"/>
                <w:sz w:val="20"/>
                <w:szCs w:val="20"/>
              </w:rPr>
              <w:t>128</w:t>
            </w:r>
          </w:p>
        </w:tc>
        <w:tc>
          <w:tcPr>
            <w:tcW w:w="1030" w:type="dxa"/>
            <w:tcBorders>
              <w:top w:val="single" w:sz="4" w:space="0" w:color="auto"/>
              <w:left w:val="nil"/>
              <w:bottom w:val="single" w:sz="8" w:space="0" w:color="auto"/>
              <w:right w:val="nil"/>
            </w:tcBorders>
            <w:shd w:val="clear" w:color="auto" w:fill="E2EFD9"/>
            <w:noWrap/>
            <w:vAlign w:val="center"/>
          </w:tcPr>
          <w:p w14:paraId="07C39174" w14:textId="3A660452"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31</w:t>
            </w:r>
            <w:r>
              <w:rPr>
                <w:rFonts w:ascii="Aptos" w:hAnsi="Aptos" w:cs="Calibri"/>
                <w:b/>
                <w:bCs/>
                <w:color w:val="000000"/>
                <w:sz w:val="20"/>
                <w:szCs w:val="20"/>
                <w:lang w:val="en-US"/>
              </w:rPr>
              <w:t>.</w:t>
            </w:r>
            <w:r w:rsidRPr="00BE5E19">
              <w:rPr>
                <w:rFonts w:ascii="Aptos" w:hAnsi="Aptos" w:cs="Calibri"/>
                <w:b/>
                <w:bCs/>
                <w:color w:val="000000"/>
                <w:sz w:val="20"/>
                <w:szCs w:val="20"/>
              </w:rPr>
              <w:t>321</w:t>
            </w:r>
          </w:p>
        </w:tc>
        <w:tc>
          <w:tcPr>
            <w:tcW w:w="1030" w:type="dxa"/>
            <w:tcBorders>
              <w:top w:val="nil"/>
              <w:left w:val="nil"/>
              <w:bottom w:val="single" w:sz="8" w:space="0" w:color="auto"/>
              <w:right w:val="nil"/>
            </w:tcBorders>
            <w:shd w:val="clear" w:color="000000" w:fill="FFFFFF"/>
            <w:noWrap/>
            <w:vAlign w:val="center"/>
          </w:tcPr>
          <w:p w14:paraId="74AFB3A1" w14:textId="09F021BC"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32</w:t>
            </w:r>
            <w:r>
              <w:rPr>
                <w:rFonts w:ascii="Aptos" w:hAnsi="Aptos" w:cs="Calibri"/>
                <w:b/>
                <w:bCs/>
                <w:color w:val="000000"/>
                <w:sz w:val="20"/>
                <w:szCs w:val="20"/>
                <w:lang w:val="en-US"/>
              </w:rPr>
              <w:t>.</w:t>
            </w:r>
            <w:r w:rsidRPr="00BE5E19">
              <w:rPr>
                <w:rFonts w:ascii="Aptos" w:hAnsi="Aptos" w:cs="Calibri"/>
                <w:b/>
                <w:bCs/>
                <w:color w:val="000000"/>
                <w:sz w:val="20"/>
                <w:szCs w:val="20"/>
              </w:rPr>
              <w:t>611</w:t>
            </w:r>
          </w:p>
        </w:tc>
        <w:tc>
          <w:tcPr>
            <w:tcW w:w="983" w:type="dxa"/>
            <w:tcBorders>
              <w:top w:val="single" w:sz="4" w:space="0" w:color="auto"/>
              <w:left w:val="nil"/>
              <w:bottom w:val="single" w:sz="8" w:space="0" w:color="auto"/>
              <w:right w:val="nil"/>
            </w:tcBorders>
            <w:shd w:val="clear" w:color="auto" w:fill="E2EFD9"/>
            <w:noWrap/>
            <w:vAlign w:val="center"/>
          </w:tcPr>
          <w:p w14:paraId="138B12F0" w14:textId="2CA9B503"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2</w:t>
            </w:r>
            <w:r>
              <w:rPr>
                <w:rFonts w:ascii="Aptos" w:hAnsi="Aptos" w:cs="Calibri"/>
                <w:b/>
                <w:bCs/>
                <w:color w:val="000000"/>
                <w:sz w:val="20"/>
                <w:szCs w:val="20"/>
                <w:lang w:val="en-US"/>
              </w:rPr>
              <w:t>.</w:t>
            </w:r>
            <w:r w:rsidRPr="00BE5E19">
              <w:rPr>
                <w:rFonts w:ascii="Aptos" w:hAnsi="Aptos" w:cs="Calibri"/>
                <w:b/>
                <w:bCs/>
                <w:color w:val="000000"/>
                <w:sz w:val="20"/>
                <w:szCs w:val="20"/>
              </w:rPr>
              <w:t>609</w:t>
            </w:r>
          </w:p>
        </w:tc>
        <w:tc>
          <w:tcPr>
            <w:tcW w:w="992" w:type="dxa"/>
            <w:tcBorders>
              <w:top w:val="single" w:sz="4" w:space="0" w:color="auto"/>
              <w:left w:val="nil"/>
              <w:bottom w:val="single" w:sz="8" w:space="0" w:color="auto"/>
              <w:right w:val="nil"/>
            </w:tcBorders>
            <w:shd w:val="clear" w:color="000000" w:fill="FFFFFF"/>
            <w:noWrap/>
            <w:vAlign w:val="center"/>
          </w:tcPr>
          <w:p w14:paraId="596246F2" w14:textId="5EDCC8AF"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(4</w:t>
            </w:r>
            <w:r>
              <w:rPr>
                <w:rFonts w:ascii="Aptos" w:hAnsi="Aptos" w:cs="Calibri"/>
                <w:b/>
                <w:bCs/>
                <w:color w:val="000000"/>
                <w:sz w:val="20"/>
                <w:szCs w:val="20"/>
                <w:lang w:val="en-US"/>
              </w:rPr>
              <w:t>.</w:t>
            </w:r>
            <w:r w:rsidRPr="00BE5E19">
              <w:rPr>
                <w:rFonts w:ascii="Aptos" w:hAnsi="Aptos" w:cs="Calibri"/>
                <w:b/>
                <w:bCs/>
                <w:color w:val="000000"/>
                <w:sz w:val="20"/>
                <w:szCs w:val="20"/>
              </w:rPr>
              <w:t>483)</w:t>
            </w:r>
          </w:p>
        </w:tc>
        <w:tc>
          <w:tcPr>
            <w:tcW w:w="1134" w:type="dxa"/>
            <w:tcBorders>
              <w:top w:val="single" w:sz="4" w:space="0" w:color="auto"/>
              <w:left w:val="nil"/>
              <w:bottom w:val="single" w:sz="8" w:space="0" w:color="auto"/>
              <w:right w:val="nil"/>
            </w:tcBorders>
            <w:shd w:val="clear" w:color="auto" w:fill="E2EFD9"/>
            <w:noWrap/>
            <w:vAlign w:val="center"/>
          </w:tcPr>
          <w:p w14:paraId="2A488FE0" w14:textId="5AE7C44E"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137</w:t>
            </w:r>
            <w:r>
              <w:rPr>
                <w:rFonts w:ascii="Aptos" w:hAnsi="Aptos" w:cs="Calibri"/>
                <w:b/>
                <w:bCs/>
                <w:color w:val="000000"/>
                <w:sz w:val="20"/>
                <w:szCs w:val="20"/>
                <w:lang w:val="en-US"/>
              </w:rPr>
              <w:t>.</w:t>
            </w:r>
            <w:r w:rsidRPr="00BE5E19">
              <w:rPr>
                <w:rFonts w:ascii="Aptos" w:hAnsi="Aptos" w:cs="Calibri"/>
                <w:b/>
                <w:bCs/>
                <w:color w:val="000000"/>
                <w:sz w:val="20"/>
                <w:szCs w:val="20"/>
              </w:rPr>
              <w:t>811</w:t>
            </w:r>
          </w:p>
        </w:tc>
        <w:tc>
          <w:tcPr>
            <w:tcW w:w="1134" w:type="dxa"/>
            <w:tcBorders>
              <w:top w:val="single" w:sz="4" w:space="0" w:color="auto"/>
              <w:left w:val="nil"/>
              <w:bottom w:val="single" w:sz="8" w:space="0" w:color="auto"/>
              <w:right w:val="nil"/>
            </w:tcBorders>
            <w:shd w:val="clear" w:color="000000" w:fill="FFFFFF"/>
            <w:noWrap/>
            <w:vAlign w:val="center"/>
          </w:tcPr>
          <w:p w14:paraId="3CC455AC" w14:textId="36171435" w:rsidR="005E46E0" w:rsidRPr="00BE5E19" w:rsidRDefault="005E46E0" w:rsidP="005E46E0">
            <w:pPr>
              <w:spacing w:after="0" w:line="240" w:lineRule="auto"/>
              <w:jc w:val="right"/>
              <w:rPr>
                <w:rFonts w:ascii="Aptos" w:hAnsi="Aptos" w:cs="Calibri"/>
                <w:b/>
                <w:bCs/>
                <w:color w:val="000000"/>
                <w:sz w:val="20"/>
                <w:szCs w:val="20"/>
                <w:lang w:val="en-GB"/>
              </w:rPr>
            </w:pPr>
            <w:r w:rsidRPr="00BE5E19">
              <w:rPr>
                <w:rFonts w:ascii="Aptos" w:hAnsi="Aptos" w:cs="Calibri"/>
                <w:b/>
                <w:bCs/>
                <w:color w:val="000000"/>
                <w:sz w:val="20"/>
                <w:szCs w:val="20"/>
              </w:rPr>
              <w:t>95</w:t>
            </w:r>
            <w:r>
              <w:rPr>
                <w:rFonts w:ascii="Aptos" w:hAnsi="Aptos" w:cs="Calibri"/>
                <w:b/>
                <w:bCs/>
                <w:color w:val="000000"/>
                <w:sz w:val="20"/>
                <w:szCs w:val="20"/>
                <w:lang w:val="en-US"/>
              </w:rPr>
              <w:t>.</w:t>
            </w:r>
            <w:r w:rsidRPr="00BE5E19">
              <w:rPr>
                <w:rFonts w:ascii="Aptos" w:hAnsi="Aptos" w:cs="Calibri"/>
                <w:b/>
                <w:bCs/>
                <w:color w:val="000000"/>
                <w:sz w:val="20"/>
                <w:szCs w:val="20"/>
              </w:rPr>
              <w:t>256</w:t>
            </w:r>
          </w:p>
        </w:tc>
      </w:tr>
    </w:tbl>
    <w:p w14:paraId="483EF986" w14:textId="77777777" w:rsidR="005657FD" w:rsidRPr="00BE5E19" w:rsidRDefault="005657FD" w:rsidP="005657FD">
      <w:pPr>
        <w:autoSpaceDE w:val="0"/>
        <w:autoSpaceDN w:val="0"/>
        <w:adjustRightInd w:val="0"/>
        <w:spacing w:after="120" w:line="240" w:lineRule="auto"/>
        <w:jc w:val="both"/>
        <w:rPr>
          <w:rFonts w:ascii="Aptos" w:hAnsi="Aptos" w:cs="Calibri"/>
          <w:i/>
          <w:color w:val="000000"/>
          <w:sz w:val="16"/>
          <w:szCs w:val="20"/>
          <w:lang w:val="en-GB"/>
        </w:rPr>
      </w:pPr>
    </w:p>
    <w:p w14:paraId="5390DBB7" w14:textId="77777777" w:rsidR="001A12E5" w:rsidRPr="00BE5E19" w:rsidRDefault="001A12E5">
      <w:pPr>
        <w:spacing w:after="0" w:line="240" w:lineRule="auto"/>
        <w:rPr>
          <w:rFonts w:ascii="Aptos" w:eastAsia="SimSun" w:hAnsi="Aptos" w:cs="Calibri"/>
          <w:b/>
          <w:bCs/>
          <w:color w:val="4F6228"/>
          <w:sz w:val="24"/>
          <w:szCs w:val="24"/>
          <w:lang w:val="en-GB"/>
        </w:rPr>
      </w:pPr>
      <w:r w:rsidRPr="00BE5E19">
        <w:rPr>
          <w:rFonts w:ascii="Aptos" w:eastAsia="SimSun" w:hAnsi="Aptos" w:cs="Calibri"/>
          <w:b/>
          <w:bCs/>
          <w:color w:val="4F6228"/>
          <w:sz w:val="24"/>
          <w:szCs w:val="24"/>
          <w:lang w:val="en-GB"/>
        </w:rPr>
        <w:br w:type="page"/>
      </w:r>
    </w:p>
    <w:p w14:paraId="611D66ED" w14:textId="77777777" w:rsidR="005E46E0" w:rsidRPr="00F95562" w:rsidRDefault="005E46E0" w:rsidP="005E46E0">
      <w:pPr>
        <w:keepNext/>
        <w:keepLines/>
        <w:spacing w:after="120" w:line="240" w:lineRule="auto"/>
        <w:jc w:val="both"/>
        <w:outlineLvl w:val="1"/>
        <w:rPr>
          <w:rFonts w:eastAsia="SimSun" w:cs="Calibri"/>
          <w:b/>
          <w:bCs/>
          <w:color w:val="4F6228"/>
          <w:sz w:val="24"/>
          <w:szCs w:val="24"/>
        </w:rPr>
      </w:pPr>
      <w:r w:rsidRPr="00F95562">
        <w:rPr>
          <w:rFonts w:eastAsia="SimSun" w:cs="Calibri"/>
          <w:b/>
          <w:bCs/>
          <w:color w:val="4F6228"/>
          <w:sz w:val="24"/>
          <w:szCs w:val="24"/>
        </w:rPr>
        <w:lastRenderedPageBreak/>
        <w:t>Παράρτημα Γ – Συνοπτική Ενοποιημένη Κατάσταση Οικονομικής Θέσης</w:t>
      </w:r>
    </w:p>
    <w:tbl>
      <w:tblPr>
        <w:tblW w:w="10116" w:type="dxa"/>
        <w:tblLook w:val="04A0" w:firstRow="1" w:lastRow="0" w:firstColumn="1" w:lastColumn="0" w:noHBand="0" w:noVBand="1"/>
      </w:tblPr>
      <w:tblGrid>
        <w:gridCol w:w="5670"/>
        <w:gridCol w:w="1985"/>
        <w:gridCol w:w="283"/>
        <w:gridCol w:w="2178"/>
      </w:tblGrid>
      <w:tr w:rsidR="005E46E0" w:rsidRPr="00BE5E19" w14:paraId="6EACEF68"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172FC697" w14:textId="170EDE03" w:rsidR="005E46E0" w:rsidRPr="00BE5E19" w:rsidRDefault="005E46E0" w:rsidP="005E0EB8">
            <w:pPr>
              <w:spacing w:after="0" w:line="240" w:lineRule="auto"/>
              <w:jc w:val="both"/>
              <w:rPr>
                <w:rFonts w:ascii="Aptos" w:eastAsia="Times New Roman" w:hAnsi="Aptos"/>
                <w:i/>
                <w:iCs/>
                <w:color w:val="000000"/>
                <w:sz w:val="20"/>
                <w:szCs w:val="20"/>
                <w:lang w:val="en-GB" w:eastAsia="el-GR"/>
              </w:rPr>
            </w:pPr>
            <w:r w:rsidRPr="00F95562">
              <w:rPr>
                <w:rFonts w:eastAsia="Times New Roman"/>
                <w:i/>
                <w:iCs/>
                <w:color w:val="000000"/>
                <w:sz w:val="20"/>
                <w:szCs w:val="20"/>
                <w:lang w:eastAsia="el-GR"/>
              </w:rPr>
              <w:t>Ποσά σε χιλιάδες ευρώ</w:t>
            </w:r>
          </w:p>
        </w:tc>
        <w:tc>
          <w:tcPr>
            <w:tcW w:w="1985" w:type="dxa"/>
            <w:tcBorders>
              <w:top w:val="nil"/>
              <w:left w:val="nil"/>
              <w:bottom w:val="nil"/>
              <w:right w:val="nil"/>
            </w:tcBorders>
            <w:shd w:val="clear" w:color="000000" w:fill="FFFFFF"/>
            <w:vAlign w:val="center"/>
          </w:tcPr>
          <w:p w14:paraId="1EE25A03" w14:textId="6649665E" w:rsidR="005E46E0" w:rsidRPr="00BE5E19" w:rsidRDefault="005E46E0" w:rsidP="005E0EB8">
            <w:pPr>
              <w:spacing w:after="0" w:line="240" w:lineRule="auto"/>
              <w:jc w:val="right"/>
              <w:rPr>
                <w:rFonts w:ascii="Aptos" w:eastAsia="Times New Roman" w:hAnsi="Aptos"/>
                <w:b/>
                <w:bCs/>
                <w:color w:val="000000"/>
                <w:sz w:val="20"/>
                <w:szCs w:val="20"/>
                <w:u w:val="single"/>
                <w:lang w:eastAsia="el-GR"/>
              </w:rPr>
            </w:pPr>
            <w:r w:rsidRPr="00BE5E19">
              <w:rPr>
                <w:rFonts w:ascii="Aptos" w:eastAsia="Times New Roman" w:hAnsi="Aptos"/>
                <w:b/>
                <w:bCs/>
                <w:color w:val="000000"/>
                <w:sz w:val="20"/>
                <w:szCs w:val="20"/>
                <w:u w:val="single"/>
                <w:lang w:val="en-GB" w:eastAsia="el-GR"/>
              </w:rPr>
              <w:t xml:space="preserve">30 </w:t>
            </w:r>
            <w:r>
              <w:rPr>
                <w:rFonts w:ascii="Aptos" w:eastAsia="Times New Roman" w:hAnsi="Aptos"/>
                <w:b/>
                <w:bCs/>
                <w:color w:val="000000"/>
                <w:sz w:val="20"/>
                <w:szCs w:val="20"/>
                <w:u w:val="single"/>
                <w:lang w:eastAsia="el-GR"/>
              </w:rPr>
              <w:t>Ιουνίου</w:t>
            </w:r>
            <w:r w:rsidRPr="00BE5E19">
              <w:rPr>
                <w:rFonts w:ascii="Aptos" w:eastAsia="Times New Roman" w:hAnsi="Aptos"/>
                <w:b/>
                <w:bCs/>
                <w:color w:val="000000"/>
                <w:sz w:val="20"/>
                <w:szCs w:val="20"/>
                <w:u w:val="single"/>
                <w:lang w:val="en-GB" w:eastAsia="el-GR"/>
              </w:rPr>
              <w:t xml:space="preserve"> 2026 </w:t>
            </w:r>
          </w:p>
        </w:tc>
        <w:tc>
          <w:tcPr>
            <w:tcW w:w="283" w:type="dxa"/>
            <w:tcBorders>
              <w:top w:val="nil"/>
              <w:left w:val="nil"/>
              <w:bottom w:val="nil"/>
              <w:right w:val="nil"/>
            </w:tcBorders>
            <w:shd w:val="clear" w:color="000000" w:fill="FFFFFF"/>
            <w:vAlign w:val="center"/>
          </w:tcPr>
          <w:p w14:paraId="6CA3DFAE" w14:textId="77777777" w:rsidR="005E46E0" w:rsidRPr="00BE5E19" w:rsidRDefault="005E46E0" w:rsidP="005E0EB8">
            <w:pPr>
              <w:spacing w:after="0" w:line="240" w:lineRule="auto"/>
              <w:jc w:val="right"/>
              <w:rPr>
                <w:rFonts w:ascii="Aptos" w:eastAsia="Times New Roman" w:hAnsi="Aptos"/>
                <w:b/>
                <w:bCs/>
                <w:color w:val="000000"/>
                <w:sz w:val="20"/>
                <w:szCs w:val="20"/>
                <w:u w:val="single"/>
                <w:lang w:val="en-GB" w:eastAsia="el-GR"/>
              </w:rPr>
            </w:pPr>
          </w:p>
        </w:tc>
        <w:tc>
          <w:tcPr>
            <w:tcW w:w="2178" w:type="dxa"/>
            <w:tcBorders>
              <w:top w:val="nil"/>
              <w:left w:val="nil"/>
              <w:bottom w:val="nil"/>
              <w:right w:val="nil"/>
            </w:tcBorders>
            <w:shd w:val="clear" w:color="000000" w:fill="FFFFFF"/>
            <w:vAlign w:val="center"/>
          </w:tcPr>
          <w:p w14:paraId="65C9180F" w14:textId="47BDE98E" w:rsidR="005E46E0" w:rsidRPr="005E46E0" w:rsidRDefault="005E46E0" w:rsidP="005E0EB8">
            <w:pPr>
              <w:spacing w:after="0" w:line="240" w:lineRule="auto"/>
              <w:rPr>
                <w:rFonts w:ascii="Aptos" w:eastAsia="Times New Roman" w:hAnsi="Aptos"/>
                <w:b/>
                <w:bCs/>
                <w:color w:val="000000"/>
                <w:sz w:val="20"/>
                <w:szCs w:val="20"/>
                <w:u w:val="single"/>
                <w:lang w:eastAsia="el-GR"/>
              </w:rPr>
            </w:pPr>
            <w:r w:rsidRPr="00BE5E19">
              <w:rPr>
                <w:rFonts w:ascii="Aptos" w:eastAsia="Times New Roman" w:hAnsi="Aptos"/>
                <w:b/>
                <w:bCs/>
                <w:color w:val="000000"/>
                <w:sz w:val="20"/>
                <w:szCs w:val="20"/>
                <w:u w:val="single"/>
                <w:lang w:val="en-GB" w:eastAsia="el-GR"/>
              </w:rPr>
              <w:t xml:space="preserve">31 </w:t>
            </w:r>
            <w:r>
              <w:rPr>
                <w:rFonts w:ascii="Aptos" w:eastAsia="Times New Roman" w:hAnsi="Aptos"/>
                <w:b/>
                <w:bCs/>
                <w:color w:val="000000"/>
                <w:sz w:val="20"/>
                <w:szCs w:val="20"/>
                <w:u w:val="single"/>
                <w:lang w:eastAsia="el-GR"/>
              </w:rPr>
              <w:t>Δεκεμβρίου</w:t>
            </w:r>
            <w:r w:rsidRPr="00BE5E19">
              <w:rPr>
                <w:rFonts w:ascii="Aptos" w:eastAsia="Times New Roman" w:hAnsi="Aptos"/>
                <w:b/>
                <w:bCs/>
                <w:color w:val="000000"/>
                <w:sz w:val="20"/>
                <w:szCs w:val="20"/>
                <w:u w:val="single"/>
                <w:lang w:val="en-GB" w:eastAsia="el-GR"/>
              </w:rPr>
              <w:t xml:space="preserve"> 202</w:t>
            </w:r>
            <w:r>
              <w:rPr>
                <w:rFonts w:ascii="Aptos" w:eastAsia="Times New Roman" w:hAnsi="Aptos"/>
                <w:b/>
                <w:bCs/>
                <w:color w:val="000000"/>
                <w:sz w:val="20"/>
                <w:szCs w:val="20"/>
                <w:u w:val="single"/>
                <w:lang w:eastAsia="el-GR"/>
              </w:rPr>
              <w:t>5</w:t>
            </w:r>
          </w:p>
        </w:tc>
      </w:tr>
      <w:tr w:rsidR="005E46E0" w:rsidRPr="00BE5E19" w14:paraId="663388CA"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7B696190" w14:textId="1B8C8C6A"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ΕΝΕΡΓΗΤΙΚΟ</w:t>
            </w:r>
          </w:p>
        </w:tc>
        <w:tc>
          <w:tcPr>
            <w:tcW w:w="1985" w:type="dxa"/>
            <w:tcBorders>
              <w:top w:val="nil"/>
              <w:left w:val="nil"/>
              <w:bottom w:val="nil"/>
              <w:right w:val="nil"/>
            </w:tcBorders>
            <w:shd w:val="clear" w:color="auto" w:fill="E2EFD9"/>
            <w:noWrap/>
            <w:vAlign w:val="bottom"/>
          </w:tcPr>
          <w:p w14:paraId="14D0CA06"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c>
          <w:tcPr>
            <w:tcW w:w="283" w:type="dxa"/>
            <w:tcBorders>
              <w:top w:val="nil"/>
              <w:left w:val="nil"/>
              <w:bottom w:val="nil"/>
              <w:right w:val="nil"/>
            </w:tcBorders>
            <w:noWrap/>
            <w:vAlign w:val="bottom"/>
          </w:tcPr>
          <w:p w14:paraId="28E313A2"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c>
          <w:tcPr>
            <w:tcW w:w="2178" w:type="dxa"/>
            <w:tcBorders>
              <w:top w:val="nil"/>
              <w:left w:val="nil"/>
              <w:bottom w:val="nil"/>
              <w:right w:val="nil"/>
            </w:tcBorders>
            <w:noWrap/>
            <w:vAlign w:val="bottom"/>
          </w:tcPr>
          <w:p w14:paraId="2A750452"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r>
      <w:tr w:rsidR="005E46E0" w:rsidRPr="00BE5E19" w14:paraId="4FCFD194"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6213A6C4" w14:textId="0FEC2E3C"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Μη κυκλοφορούν ενεργητικό</w:t>
            </w:r>
          </w:p>
        </w:tc>
        <w:tc>
          <w:tcPr>
            <w:tcW w:w="1985" w:type="dxa"/>
            <w:tcBorders>
              <w:top w:val="nil"/>
              <w:left w:val="nil"/>
              <w:bottom w:val="nil"/>
              <w:right w:val="nil"/>
            </w:tcBorders>
            <w:shd w:val="clear" w:color="auto" w:fill="E2EFD9"/>
            <w:noWrap/>
            <w:vAlign w:val="bottom"/>
          </w:tcPr>
          <w:p w14:paraId="26F190EF"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c>
          <w:tcPr>
            <w:tcW w:w="283" w:type="dxa"/>
            <w:tcBorders>
              <w:top w:val="nil"/>
              <w:left w:val="nil"/>
              <w:bottom w:val="nil"/>
              <w:right w:val="nil"/>
            </w:tcBorders>
            <w:noWrap/>
            <w:vAlign w:val="bottom"/>
          </w:tcPr>
          <w:p w14:paraId="1C51F199"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c>
          <w:tcPr>
            <w:tcW w:w="2178" w:type="dxa"/>
            <w:tcBorders>
              <w:top w:val="nil"/>
              <w:left w:val="nil"/>
              <w:bottom w:val="nil"/>
              <w:right w:val="nil"/>
            </w:tcBorders>
            <w:noWrap/>
            <w:vAlign w:val="bottom"/>
          </w:tcPr>
          <w:p w14:paraId="0EAE4D15" w14:textId="77777777" w:rsidR="005E46E0" w:rsidRPr="00BE5E19" w:rsidRDefault="005E46E0" w:rsidP="005E0EB8">
            <w:pPr>
              <w:spacing w:after="0" w:line="240" w:lineRule="auto"/>
              <w:jc w:val="both"/>
              <w:rPr>
                <w:rFonts w:ascii="Aptos" w:eastAsia="Times New Roman" w:hAnsi="Aptos"/>
                <w:color w:val="000000"/>
                <w:sz w:val="20"/>
                <w:szCs w:val="20"/>
                <w:lang w:val="en-GB" w:eastAsia="el-GR"/>
              </w:rPr>
            </w:pPr>
          </w:p>
        </w:tc>
      </w:tr>
      <w:tr w:rsidR="005E46E0" w:rsidRPr="00BE5E19" w14:paraId="6A284B6F"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72A80862" w14:textId="59854708"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Ενσώματα πάγια στοιχεία</w:t>
            </w:r>
          </w:p>
        </w:tc>
        <w:tc>
          <w:tcPr>
            <w:tcW w:w="1985" w:type="dxa"/>
            <w:tcBorders>
              <w:top w:val="nil"/>
              <w:left w:val="nil"/>
              <w:bottom w:val="nil"/>
              <w:right w:val="nil"/>
            </w:tcBorders>
            <w:shd w:val="clear" w:color="auto" w:fill="E2EFD9"/>
            <w:noWrap/>
            <w:vAlign w:val="bottom"/>
          </w:tcPr>
          <w:p w14:paraId="33568DD7" w14:textId="7A1215C7"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w:t>
            </w:r>
            <w:r>
              <w:rPr>
                <w:rFonts w:ascii="Aptos" w:hAnsi="Aptos" w:cs="Calibri"/>
                <w:color w:val="000000"/>
                <w:sz w:val="20"/>
                <w:szCs w:val="20"/>
              </w:rPr>
              <w:t>.</w:t>
            </w:r>
            <w:r w:rsidRPr="00BE5E19">
              <w:rPr>
                <w:rFonts w:ascii="Aptos" w:hAnsi="Aptos" w:cs="Calibri"/>
                <w:color w:val="000000"/>
                <w:sz w:val="20"/>
                <w:szCs w:val="20"/>
              </w:rPr>
              <w:t>197</w:t>
            </w:r>
            <w:r>
              <w:rPr>
                <w:rFonts w:ascii="Aptos" w:hAnsi="Aptos" w:cs="Calibri"/>
                <w:color w:val="000000"/>
                <w:sz w:val="20"/>
                <w:szCs w:val="20"/>
              </w:rPr>
              <w:t>.</w:t>
            </w:r>
            <w:r w:rsidRPr="00BE5E19">
              <w:rPr>
                <w:rFonts w:ascii="Aptos" w:hAnsi="Aptos" w:cs="Calibri"/>
                <w:color w:val="000000"/>
                <w:sz w:val="20"/>
                <w:szCs w:val="20"/>
              </w:rPr>
              <w:t>086</w:t>
            </w:r>
          </w:p>
        </w:tc>
        <w:tc>
          <w:tcPr>
            <w:tcW w:w="283" w:type="dxa"/>
            <w:tcBorders>
              <w:top w:val="nil"/>
              <w:left w:val="nil"/>
              <w:bottom w:val="nil"/>
              <w:right w:val="nil"/>
            </w:tcBorders>
            <w:noWrap/>
            <w:vAlign w:val="bottom"/>
          </w:tcPr>
          <w:p w14:paraId="1A8C3CDC"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11078FE7" w14:textId="6AD97C55"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w:t>
            </w:r>
            <w:r>
              <w:rPr>
                <w:rFonts w:ascii="Aptos" w:hAnsi="Aptos" w:cs="Calibri"/>
                <w:color w:val="000000"/>
                <w:sz w:val="20"/>
                <w:szCs w:val="20"/>
              </w:rPr>
              <w:t>.</w:t>
            </w:r>
            <w:r w:rsidRPr="00BE5E19">
              <w:rPr>
                <w:rFonts w:ascii="Aptos" w:hAnsi="Aptos" w:cs="Calibri"/>
                <w:color w:val="000000"/>
                <w:sz w:val="20"/>
                <w:szCs w:val="20"/>
              </w:rPr>
              <w:t>052</w:t>
            </w:r>
            <w:r>
              <w:rPr>
                <w:rFonts w:ascii="Aptos" w:hAnsi="Aptos" w:cs="Calibri"/>
                <w:color w:val="000000"/>
                <w:sz w:val="20"/>
                <w:szCs w:val="20"/>
              </w:rPr>
              <w:t>.</w:t>
            </w:r>
            <w:r w:rsidRPr="00BE5E19">
              <w:rPr>
                <w:rFonts w:ascii="Aptos" w:hAnsi="Aptos" w:cs="Calibri"/>
                <w:color w:val="000000"/>
                <w:sz w:val="20"/>
                <w:szCs w:val="20"/>
              </w:rPr>
              <w:t>333</w:t>
            </w:r>
          </w:p>
        </w:tc>
      </w:tr>
      <w:tr w:rsidR="005E46E0" w:rsidRPr="00BE5E19" w14:paraId="6E1003B6" w14:textId="77777777" w:rsidTr="005E46E0">
        <w:trPr>
          <w:trHeight w:hRule="exact" w:val="255"/>
        </w:trPr>
        <w:tc>
          <w:tcPr>
            <w:tcW w:w="5670" w:type="dxa"/>
            <w:tcBorders>
              <w:top w:val="nil"/>
              <w:left w:val="nil"/>
              <w:bottom w:val="nil"/>
              <w:right w:val="nil"/>
            </w:tcBorders>
            <w:shd w:val="clear" w:color="000000" w:fill="FFFFFF"/>
            <w:noWrap/>
            <w:vAlign w:val="bottom"/>
          </w:tcPr>
          <w:p w14:paraId="26E2DC35" w14:textId="31545B6F"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Δικαιώματα χρήσης περιουσιακών στοιχείων</w:t>
            </w:r>
          </w:p>
        </w:tc>
        <w:tc>
          <w:tcPr>
            <w:tcW w:w="1985" w:type="dxa"/>
            <w:tcBorders>
              <w:top w:val="nil"/>
              <w:left w:val="nil"/>
              <w:bottom w:val="nil"/>
              <w:right w:val="nil"/>
            </w:tcBorders>
            <w:shd w:val="clear" w:color="auto" w:fill="E2EFD9"/>
            <w:noWrap/>
            <w:vAlign w:val="bottom"/>
          </w:tcPr>
          <w:p w14:paraId="6826B2E5" w14:textId="305FCE8A"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12</w:t>
            </w:r>
            <w:r>
              <w:rPr>
                <w:rFonts w:ascii="Aptos" w:hAnsi="Aptos" w:cs="Calibri"/>
                <w:color w:val="000000"/>
                <w:sz w:val="20"/>
                <w:szCs w:val="20"/>
              </w:rPr>
              <w:t>.</w:t>
            </w:r>
            <w:r w:rsidRPr="00BE5E19">
              <w:rPr>
                <w:rFonts w:ascii="Aptos" w:hAnsi="Aptos" w:cs="Calibri"/>
                <w:color w:val="000000"/>
                <w:sz w:val="20"/>
                <w:szCs w:val="20"/>
              </w:rPr>
              <w:t>912</w:t>
            </w:r>
          </w:p>
        </w:tc>
        <w:tc>
          <w:tcPr>
            <w:tcW w:w="283" w:type="dxa"/>
            <w:tcBorders>
              <w:top w:val="nil"/>
              <w:left w:val="nil"/>
              <w:bottom w:val="nil"/>
              <w:right w:val="nil"/>
            </w:tcBorders>
            <w:noWrap/>
            <w:vAlign w:val="bottom"/>
          </w:tcPr>
          <w:p w14:paraId="2FA9ECA2"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tcPr>
          <w:p w14:paraId="24E7DCD8" w14:textId="3A00536A"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12</w:t>
            </w:r>
            <w:r>
              <w:rPr>
                <w:rFonts w:ascii="Aptos" w:hAnsi="Aptos" w:cs="Calibri"/>
                <w:color w:val="000000"/>
                <w:sz w:val="20"/>
                <w:szCs w:val="20"/>
              </w:rPr>
              <w:t>.</w:t>
            </w:r>
            <w:r w:rsidRPr="00BE5E19">
              <w:rPr>
                <w:rFonts w:ascii="Aptos" w:hAnsi="Aptos" w:cs="Calibri"/>
                <w:color w:val="000000"/>
                <w:sz w:val="20"/>
                <w:szCs w:val="20"/>
              </w:rPr>
              <w:t>339</w:t>
            </w:r>
          </w:p>
        </w:tc>
      </w:tr>
      <w:tr w:rsidR="005E46E0" w:rsidRPr="00BE5E19" w14:paraId="457B7FCE"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776B54A0" w14:textId="3A4B7692"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 xml:space="preserve">Άυλα περιουσιακά στοιχεία </w:t>
            </w:r>
          </w:p>
        </w:tc>
        <w:tc>
          <w:tcPr>
            <w:tcW w:w="1985" w:type="dxa"/>
            <w:tcBorders>
              <w:top w:val="nil"/>
              <w:left w:val="nil"/>
              <w:bottom w:val="nil"/>
              <w:right w:val="nil"/>
            </w:tcBorders>
            <w:shd w:val="clear" w:color="auto" w:fill="E2EFD9"/>
            <w:noWrap/>
            <w:vAlign w:val="bottom"/>
          </w:tcPr>
          <w:p w14:paraId="6B9A7389" w14:textId="5699A392"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55</w:t>
            </w:r>
            <w:r>
              <w:rPr>
                <w:rFonts w:ascii="Aptos" w:hAnsi="Aptos" w:cs="Calibri"/>
                <w:color w:val="000000"/>
                <w:sz w:val="20"/>
                <w:szCs w:val="20"/>
              </w:rPr>
              <w:t>.</w:t>
            </w:r>
            <w:r w:rsidRPr="00BE5E19">
              <w:rPr>
                <w:rFonts w:ascii="Aptos" w:hAnsi="Aptos" w:cs="Calibri"/>
                <w:color w:val="000000"/>
                <w:sz w:val="20"/>
                <w:szCs w:val="20"/>
              </w:rPr>
              <w:t>806</w:t>
            </w:r>
          </w:p>
        </w:tc>
        <w:tc>
          <w:tcPr>
            <w:tcW w:w="283" w:type="dxa"/>
            <w:tcBorders>
              <w:top w:val="nil"/>
              <w:left w:val="nil"/>
              <w:bottom w:val="nil"/>
              <w:right w:val="nil"/>
            </w:tcBorders>
            <w:noWrap/>
            <w:vAlign w:val="bottom"/>
          </w:tcPr>
          <w:p w14:paraId="1F4F40E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3E791084" w14:textId="6D033E9D"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55</w:t>
            </w:r>
            <w:r>
              <w:rPr>
                <w:rFonts w:ascii="Aptos" w:hAnsi="Aptos" w:cs="Calibri"/>
                <w:color w:val="000000"/>
                <w:sz w:val="20"/>
                <w:szCs w:val="20"/>
              </w:rPr>
              <w:t>.</w:t>
            </w:r>
            <w:r w:rsidRPr="00BE5E19">
              <w:rPr>
                <w:rFonts w:ascii="Aptos" w:hAnsi="Aptos" w:cs="Calibri"/>
                <w:color w:val="000000"/>
                <w:sz w:val="20"/>
                <w:szCs w:val="20"/>
              </w:rPr>
              <w:t>017</w:t>
            </w:r>
          </w:p>
        </w:tc>
      </w:tr>
      <w:tr w:rsidR="005E46E0" w:rsidRPr="00BE5E19" w14:paraId="1DE52151"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2DE2D23C" w14:textId="247239A7"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Επενδύσεις σε ακίνητα</w:t>
            </w:r>
          </w:p>
        </w:tc>
        <w:tc>
          <w:tcPr>
            <w:tcW w:w="1985" w:type="dxa"/>
            <w:tcBorders>
              <w:top w:val="nil"/>
              <w:left w:val="nil"/>
              <w:bottom w:val="nil"/>
              <w:right w:val="nil"/>
            </w:tcBorders>
            <w:shd w:val="clear" w:color="auto" w:fill="E2EFD9"/>
            <w:noWrap/>
            <w:vAlign w:val="bottom"/>
          </w:tcPr>
          <w:p w14:paraId="71A81DD0" w14:textId="74291804"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155</w:t>
            </w:r>
          </w:p>
        </w:tc>
        <w:tc>
          <w:tcPr>
            <w:tcW w:w="283" w:type="dxa"/>
            <w:tcBorders>
              <w:top w:val="nil"/>
              <w:left w:val="nil"/>
              <w:bottom w:val="nil"/>
              <w:right w:val="nil"/>
            </w:tcBorders>
            <w:noWrap/>
            <w:vAlign w:val="bottom"/>
          </w:tcPr>
          <w:p w14:paraId="598CA27B"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3423482" w14:textId="2B341754"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155</w:t>
            </w:r>
          </w:p>
        </w:tc>
      </w:tr>
      <w:tr w:rsidR="005E46E0" w:rsidRPr="00BE5E19" w14:paraId="3732048B"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7A3BDBD8" w14:textId="0D4B8BE8"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Συμμετοχές σε συγγενείς επιχειρήσεις</w:t>
            </w:r>
          </w:p>
        </w:tc>
        <w:tc>
          <w:tcPr>
            <w:tcW w:w="1985" w:type="dxa"/>
            <w:tcBorders>
              <w:top w:val="nil"/>
              <w:left w:val="nil"/>
              <w:bottom w:val="nil"/>
              <w:right w:val="nil"/>
            </w:tcBorders>
            <w:shd w:val="clear" w:color="auto" w:fill="E2EFD9"/>
            <w:noWrap/>
            <w:vAlign w:val="bottom"/>
          </w:tcPr>
          <w:p w14:paraId="656DDFE2" w14:textId="290C6324"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36</w:t>
            </w:r>
            <w:r>
              <w:rPr>
                <w:rFonts w:ascii="Aptos" w:hAnsi="Aptos" w:cs="Calibri"/>
                <w:color w:val="000000"/>
                <w:sz w:val="20"/>
                <w:szCs w:val="20"/>
              </w:rPr>
              <w:t>.</w:t>
            </w:r>
            <w:r w:rsidRPr="00BE5E19">
              <w:rPr>
                <w:rFonts w:ascii="Aptos" w:hAnsi="Aptos" w:cs="Calibri"/>
                <w:color w:val="000000"/>
                <w:sz w:val="20"/>
                <w:szCs w:val="20"/>
              </w:rPr>
              <w:t>101</w:t>
            </w:r>
          </w:p>
        </w:tc>
        <w:tc>
          <w:tcPr>
            <w:tcW w:w="283" w:type="dxa"/>
            <w:tcBorders>
              <w:top w:val="nil"/>
              <w:left w:val="nil"/>
              <w:bottom w:val="nil"/>
              <w:right w:val="nil"/>
            </w:tcBorders>
            <w:noWrap/>
            <w:vAlign w:val="bottom"/>
          </w:tcPr>
          <w:p w14:paraId="4332C90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E56E8EA" w14:textId="1FCB24F3"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36</w:t>
            </w:r>
            <w:r>
              <w:rPr>
                <w:rFonts w:ascii="Aptos" w:hAnsi="Aptos" w:cs="Calibri"/>
                <w:color w:val="000000"/>
                <w:sz w:val="20"/>
                <w:szCs w:val="20"/>
              </w:rPr>
              <w:t>.</w:t>
            </w:r>
            <w:r w:rsidRPr="00BE5E19">
              <w:rPr>
                <w:rFonts w:ascii="Aptos" w:hAnsi="Aptos" w:cs="Calibri"/>
                <w:color w:val="000000"/>
                <w:sz w:val="20"/>
                <w:szCs w:val="20"/>
              </w:rPr>
              <w:t>109</w:t>
            </w:r>
          </w:p>
        </w:tc>
      </w:tr>
      <w:tr w:rsidR="005E46E0" w:rsidRPr="00BE5E19" w14:paraId="35CCDFB8"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4E5106E" w14:textId="717D0818"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Λοιπές επενδύσεις</w:t>
            </w:r>
          </w:p>
        </w:tc>
        <w:tc>
          <w:tcPr>
            <w:tcW w:w="1985" w:type="dxa"/>
            <w:tcBorders>
              <w:top w:val="nil"/>
              <w:left w:val="nil"/>
              <w:bottom w:val="nil"/>
              <w:right w:val="nil"/>
            </w:tcBorders>
            <w:shd w:val="clear" w:color="auto" w:fill="E2EFD9"/>
            <w:noWrap/>
            <w:vAlign w:val="bottom"/>
          </w:tcPr>
          <w:p w14:paraId="32B40DD3" w14:textId="62BB6B34"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w:t>
            </w:r>
            <w:r>
              <w:rPr>
                <w:rFonts w:ascii="Aptos" w:hAnsi="Aptos" w:cs="Calibri"/>
                <w:color w:val="000000"/>
                <w:sz w:val="20"/>
                <w:szCs w:val="20"/>
              </w:rPr>
              <w:t>.</w:t>
            </w:r>
            <w:r w:rsidRPr="00BE5E19">
              <w:rPr>
                <w:rFonts w:ascii="Aptos" w:hAnsi="Aptos" w:cs="Calibri"/>
                <w:color w:val="000000"/>
                <w:sz w:val="20"/>
                <w:szCs w:val="20"/>
              </w:rPr>
              <w:t>002</w:t>
            </w:r>
          </w:p>
        </w:tc>
        <w:tc>
          <w:tcPr>
            <w:tcW w:w="283" w:type="dxa"/>
            <w:tcBorders>
              <w:top w:val="nil"/>
              <w:left w:val="nil"/>
              <w:bottom w:val="nil"/>
              <w:right w:val="nil"/>
            </w:tcBorders>
            <w:noWrap/>
            <w:vAlign w:val="bottom"/>
          </w:tcPr>
          <w:p w14:paraId="4083248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21D36D3" w14:textId="1470931F"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w:t>
            </w:r>
            <w:r>
              <w:rPr>
                <w:rFonts w:ascii="Aptos" w:hAnsi="Aptos" w:cs="Calibri"/>
                <w:color w:val="000000"/>
                <w:sz w:val="20"/>
                <w:szCs w:val="20"/>
              </w:rPr>
              <w:t>.</w:t>
            </w:r>
            <w:r w:rsidRPr="00BE5E19">
              <w:rPr>
                <w:rFonts w:ascii="Aptos" w:hAnsi="Aptos" w:cs="Calibri"/>
                <w:color w:val="000000"/>
                <w:sz w:val="20"/>
                <w:szCs w:val="20"/>
              </w:rPr>
              <w:t>483</w:t>
            </w:r>
          </w:p>
        </w:tc>
      </w:tr>
      <w:tr w:rsidR="005E46E0" w:rsidRPr="00BE5E19" w14:paraId="48E5714B" w14:textId="77777777" w:rsidTr="005E46E0">
        <w:trPr>
          <w:trHeight w:hRule="exact" w:val="255"/>
        </w:trPr>
        <w:tc>
          <w:tcPr>
            <w:tcW w:w="5670" w:type="dxa"/>
            <w:tcBorders>
              <w:top w:val="nil"/>
              <w:left w:val="nil"/>
              <w:bottom w:val="nil"/>
              <w:right w:val="nil"/>
            </w:tcBorders>
            <w:shd w:val="clear" w:color="000000" w:fill="FFFFFF"/>
            <w:noWrap/>
            <w:vAlign w:val="bottom"/>
          </w:tcPr>
          <w:p w14:paraId="0FAF6FFD" w14:textId="48733423"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Παράγωγα</w:t>
            </w:r>
          </w:p>
        </w:tc>
        <w:tc>
          <w:tcPr>
            <w:tcW w:w="1985" w:type="dxa"/>
            <w:tcBorders>
              <w:top w:val="nil"/>
              <w:left w:val="nil"/>
              <w:bottom w:val="nil"/>
              <w:right w:val="nil"/>
            </w:tcBorders>
            <w:shd w:val="clear" w:color="auto" w:fill="E2EFD9"/>
            <w:noWrap/>
            <w:vAlign w:val="bottom"/>
          </w:tcPr>
          <w:p w14:paraId="5867F4BB" w14:textId="16B21739"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394</w:t>
            </w:r>
          </w:p>
        </w:tc>
        <w:tc>
          <w:tcPr>
            <w:tcW w:w="283" w:type="dxa"/>
            <w:tcBorders>
              <w:top w:val="nil"/>
              <w:left w:val="nil"/>
              <w:bottom w:val="nil"/>
              <w:right w:val="nil"/>
            </w:tcBorders>
            <w:noWrap/>
            <w:vAlign w:val="bottom"/>
          </w:tcPr>
          <w:p w14:paraId="2724902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tcPr>
          <w:p w14:paraId="40BA5F43" w14:textId="6DAB27AA"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429</w:t>
            </w:r>
          </w:p>
        </w:tc>
      </w:tr>
      <w:tr w:rsidR="005E46E0" w:rsidRPr="00BE5E19" w14:paraId="4EB66AE8"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25382FED" w14:textId="5C5342CD"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Εμπορικές και λοιπές απαιτήσεις</w:t>
            </w:r>
          </w:p>
        </w:tc>
        <w:tc>
          <w:tcPr>
            <w:tcW w:w="1985" w:type="dxa"/>
            <w:tcBorders>
              <w:top w:val="nil"/>
              <w:left w:val="nil"/>
              <w:bottom w:val="nil"/>
              <w:right w:val="nil"/>
            </w:tcBorders>
            <w:shd w:val="clear" w:color="auto" w:fill="E2EFD9"/>
            <w:noWrap/>
            <w:vAlign w:val="bottom"/>
          </w:tcPr>
          <w:p w14:paraId="77935D3A" w14:textId="0DCE9D42"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666</w:t>
            </w:r>
          </w:p>
        </w:tc>
        <w:tc>
          <w:tcPr>
            <w:tcW w:w="283" w:type="dxa"/>
            <w:tcBorders>
              <w:top w:val="nil"/>
              <w:left w:val="nil"/>
              <w:bottom w:val="nil"/>
              <w:right w:val="nil"/>
            </w:tcBorders>
            <w:noWrap/>
            <w:vAlign w:val="bottom"/>
          </w:tcPr>
          <w:p w14:paraId="6B6C7ADF"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3BB2A024" w14:textId="3BDE7F41"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603</w:t>
            </w:r>
          </w:p>
        </w:tc>
      </w:tr>
      <w:tr w:rsidR="005E46E0" w:rsidRPr="00BE5E19" w14:paraId="1A28EB5C"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09D055E9" w14:textId="0E370DE3" w:rsidR="005E46E0" w:rsidRPr="00BE5E19" w:rsidRDefault="005E46E0" w:rsidP="005E0EB8">
            <w:pPr>
              <w:spacing w:after="0" w:line="240" w:lineRule="auto"/>
              <w:jc w:val="both"/>
              <w:rPr>
                <w:rFonts w:ascii="Aptos" w:eastAsia="Times New Roman" w:hAnsi="Aptos"/>
                <w:sz w:val="20"/>
                <w:szCs w:val="20"/>
                <w:lang w:val="en-GB" w:eastAsia="el-GR"/>
              </w:rPr>
            </w:pPr>
            <w:r w:rsidRPr="006C0543">
              <w:rPr>
                <w:sz w:val="20"/>
              </w:rPr>
              <w:t>Αναβαλλόμενες φορολογικές απαιτήσεις</w:t>
            </w:r>
          </w:p>
        </w:tc>
        <w:tc>
          <w:tcPr>
            <w:tcW w:w="1985" w:type="dxa"/>
            <w:tcBorders>
              <w:top w:val="nil"/>
              <w:left w:val="nil"/>
              <w:bottom w:val="nil"/>
              <w:right w:val="nil"/>
            </w:tcBorders>
            <w:shd w:val="clear" w:color="auto" w:fill="E2EFD9"/>
            <w:noWrap/>
            <w:vAlign w:val="bottom"/>
          </w:tcPr>
          <w:p w14:paraId="187C8F62" w14:textId="3FA40F5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w:t>
            </w:r>
            <w:r>
              <w:rPr>
                <w:rFonts w:ascii="Aptos" w:hAnsi="Aptos" w:cs="Calibri"/>
                <w:color w:val="000000"/>
                <w:sz w:val="20"/>
                <w:szCs w:val="20"/>
              </w:rPr>
              <w:t>.</w:t>
            </w:r>
            <w:r w:rsidRPr="00BE5E19">
              <w:rPr>
                <w:rFonts w:ascii="Aptos" w:hAnsi="Aptos" w:cs="Calibri"/>
                <w:color w:val="000000"/>
                <w:sz w:val="20"/>
                <w:szCs w:val="20"/>
              </w:rPr>
              <w:t>907</w:t>
            </w:r>
          </w:p>
        </w:tc>
        <w:tc>
          <w:tcPr>
            <w:tcW w:w="283" w:type="dxa"/>
            <w:tcBorders>
              <w:top w:val="nil"/>
              <w:left w:val="nil"/>
              <w:bottom w:val="nil"/>
              <w:right w:val="nil"/>
            </w:tcBorders>
            <w:noWrap/>
            <w:vAlign w:val="bottom"/>
          </w:tcPr>
          <w:p w14:paraId="7D955DDE"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663F017C" w14:textId="5B565179"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11</w:t>
            </w:r>
            <w:r>
              <w:rPr>
                <w:rFonts w:ascii="Aptos" w:hAnsi="Aptos" w:cs="Calibri"/>
                <w:color w:val="000000"/>
                <w:sz w:val="20"/>
                <w:szCs w:val="20"/>
              </w:rPr>
              <w:t>.</w:t>
            </w:r>
            <w:r w:rsidRPr="00BE5E19">
              <w:rPr>
                <w:rFonts w:ascii="Aptos" w:hAnsi="Aptos" w:cs="Calibri"/>
                <w:color w:val="000000"/>
                <w:sz w:val="20"/>
                <w:szCs w:val="20"/>
              </w:rPr>
              <w:t>530</w:t>
            </w:r>
          </w:p>
        </w:tc>
      </w:tr>
      <w:tr w:rsidR="005E46E0" w:rsidRPr="00BE5E19" w14:paraId="09EB2EDE"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2ED9DED2" w14:textId="77777777" w:rsidR="005E46E0" w:rsidRPr="00BE5E19" w:rsidRDefault="005E46E0" w:rsidP="005E0EB8">
            <w:pPr>
              <w:spacing w:after="0" w:line="240" w:lineRule="auto"/>
              <w:jc w:val="both"/>
              <w:rPr>
                <w:rFonts w:ascii="Aptos" w:eastAsia="Times New Roman" w:hAnsi="Aptos"/>
                <w:b/>
                <w:bCs/>
                <w:sz w:val="20"/>
                <w:szCs w:val="20"/>
                <w:lang w:val="en-GB" w:eastAsia="el-GR"/>
              </w:rPr>
            </w:pPr>
          </w:p>
        </w:tc>
        <w:tc>
          <w:tcPr>
            <w:tcW w:w="1985" w:type="dxa"/>
            <w:tcBorders>
              <w:top w:val="single" w:sz="4" w:space="0" w:color="auto"/>
              <w:left w:val="nil"/>
              <w:bottom w:val="single" w:sz="4" w:space="0" w:color="auto"/>
              <w:right w:val="nil"/>
            </w:tcBorders>
            <w:shd w:val="clear" w:color="auto" w:fill="E2EFD9"/>
            <w:noWrap/>
            <w:vAlign w:val="bottom"/>
          </w:tcPr>
          <w:p w14:paraId="7745F32E" w14:textId="581F0A60"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312</w:t>
            </w:r>
            <w:r>
              <w:rPr>
                <w:rFonts w:ascii="Aptos" w:hAnsi="Aptos" w:cs="Calibri"/>
                <w:b/>
                <w:bCs/>
                <w:color w:val="000000"/>
                <w:sz w:val="20"/>
                <w:szCs w:val="20"/>
              </w:rPr>
              <w:t>.</w:t>
            </w:r>
            <w:r w:rsidRPr="0025770E">
              <w:rPr>
                <w:rFonts w:ascii="Aptos" w:hAnsi="Aptos" w:cs="Calibri"/>
                <w:b/>
                <w:bCs/>
                <w:color w:val="000000"/>
                <w:sz w:val="20"/>
                <w:szCs w:val="20"/>
              </w:rPr>
              <w:t>031</w:t>
            </w:r>
          </w:p>
        </w:tc>
        <w:tc>
          <w:tcPr>
            <w:tcW w:w="283" w:type="dxa"/>
            <w:tcBorders>
              <w:top w:val="nil"/>
              <w:left w:val="nil"/>
              <w:bottom w:val="nil"/>
              <w:right w:val="nil"/>
            </w:tcBorders>
            <w:noWrap/>
            <w:vAlign w:val="bottom"/>
          </w:tcPr>
          <w:p w14:paraId="518F2432"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7B6C6EFF" w14:textId="17FC6E2B"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173</w:t>
            </w:r>
            <w:r>
              <w:rPr>
                <w:rFonts w:ascii="Aptos" w:hAnsi="Aptos" w:cs="Calibri"/>
                <w:b/>
                <w:bCs/>
                <w:color w:val="000000"/>
                <w:sz w:val="20"/>
                <w:szCs w:val="20"/>
              </w:rPr>
              <w:t>.</w:t>
            </w:r>
            <w:r w:rsidRPr="0025770E">
              <w:rPr>
                <w:rFonts w:ascii="Aptos" w:hAnsi="Aptos" w:cs="Calibri"/>
                <w:b/>
                <w:bCs/>
                <w:color w:val="000000"/>
                <w:sz w:val="20"/>
                <w:szCs w:val="20"/>
              </w:rPr>
              <w:t>997</w:t>
            </w:r>
          </w:p>
        </w:tc>
      </w:tr>
      <w:tr w:rsidR="005E46E0" w:rsidRPr="00BE5E19" w14:paraId="022F1944"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E71A270" w14:textId="65BB17DB"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Κυκλοφορούν ενεργητικό</w:t>
            </w:r>
          </w:p>
        </w:tc>
        <w:tc>
          <w:tcPr>
            <w:tcW w:w="1985" w:type="dxa"/>
            <w:tcBorders>
              <w:top w:val="nil"/>
              <w:left w:val="nil"/>
              <w:bottom w:val="nil"/>
              <w:right w:val="nil"/>
            </w:tcBorders>
            <w:shd w:val="clear" w:color="auto" w:fill="E2EFD9"/>
            <w:noWrap/>
            <w:vAlign w:val="bottom"/>
          </w:tcPr>
          <w:p w14:paraId="0871677A" w14:textId="5624F250"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019B5D0F"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404DC298" w14:textId="2905693A"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 </w:t>
            </w:r>
          </w:p>
        </w:tc>
      </w:tr>
      <w:tr w:rsidR="005E46E0" w:rsidRPr="00BE5E19" w14:paraId="19047408"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63E8EEB0" w14:textId="6C81F6E1"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Αποθέματα</w:t>
            </w:r>
          </w:p>
        </w:tc>
        <w:tc>
          <w:tcPr>
            <w:tcW w:w="1985" w:type="dxa"/>
            <w:tcBorders>
              <w:top w:val="nil"/>
              <w:left w:val="nil"/>
              <w:bottom w:val="nil"/>
              <w:right w:val="nil"/>
            </w:tcBorders>
            <w:shd w:val="clear" w:color="auto" w:fill="E2EFD9"/>
            <w:noWrap/>
            <w:vAlign w:val="bottom"/>
          </w:tcPr>
          <w:p w14:paraId="7A19BD7D" w14:textId="1011E004"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744</w:t>
            </w:r>
            <w:r>
              <w:rPr>
                <w:rFonts w:ascii="Aptos" w:hAnsi="Aptos" w:cs="Calibri"/>
                <w:color w:val="000000"/>
                <w:sz w:val="20"/>
                <w:szCs w:val="20"/>
              </w:rPr>
              <w:t>.</w:t>
            </w:r>
            <w:r w:rsidRPr="00BE5E19">
              <w:rPr>
                <w:rFonts w:ascii="Aptos" w:hAnsi="Aptos" w:cs="Calibri"/>
                <w:color w:val="000000"/>
                <w:sz w:val="20"/>
                <w:szCs w:val="20"/>
              </w:rPr>
              <w:t>182</w:t>
            </w:r>
          </w:p>
        </w:tc>
        <w:tc>
          <w:tcPr>
            <w:tcW w:w="283" w:type="dxa"/>
            <w:tcBorders>
              <w:top w:val="nil"/>
              <w:left w:val="nil"/>
              <w:bottom w:val="nil"/>
              <w:right w:val="nil"/>
            </w:tcBorders>
            <w:noWrap/>
            <w:vAlign w:val="bottom"/>
          </w:tcPr>
          <w:p w14:paraId="4887564D"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B06A569" w14:textId="0F6C62EB"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565</w:t>
            </w:r>
            <w:r>
              <w:rPr>
                <w:rFonts w:ascii="Aptos" w:hAnsi="Aptos" w:cs="Calibri"/>
                <w:color w:val="000000"/>
                <w:sz w:val="20"/>
                <w:szCs w:val="20"/>
              </w:rPr>
              <w:t>.</w:t>
            </w:r>
            <w:r w:rsidRPr="00BE5E19">
              <w:rPr>
                <w:rFonts w:ascii="Aptos" w:hAnsi="Aptos" w:cs="Calibri"/>
                <w:color w:val="000000"/>
                <w:sz w:val="20"/>
                <w:szCs w:val="20"/>
              </w:rPr>
              <w:t>468</w:t>
            </w:r>
          </w:p>
        </w:tc>
      </w:tr>
      <w:tr w:rsidR="005E46E0" w:rsidRPr="00BE5E19" w14:paraId="07E8BCD9"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5AE403F0" w14:textId="142D47A7"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Εμπορικές και λοιπές απαιτήσεις</w:t>
            </w:r>
          </w:p>
        </w:tc>
        <w:tc>
          <w:tcPr>
            <w:tcW w:w="1985" w:type="dxa"/>
            <w:tcBorders>
              <w:top w:val="nil"/>
              <w:left w:val="nil"/>
              <w:bottom w:val="nil"/>
              <w:right w:val="nil"/>
            </w:tcBorders>
            <w:shd w:val="clear" w:color="auto" w:fill="E2EFD9"/>
            <w:noWrap/>
            <w:vAlign w:val="bottom"/>
          </w:tcPr>
          <w:p w14:paraId="7877EE64" w14:textId="5BE093A9" w:rsidR="005E46E0" w:rsidRPr="0025770E" w:rsidRDefault="005E46E0" w:rsidP="005E0EB8">
            <w:pPr>
              <w:spacing w:after="0" w:line="240" w:lineRule="auto"/>
              <w:jc w:val="right"/>
              <w:rPr>
                <w:rFonts w:ascii="Aptos" w:hAnsi="Aptos" w:cs="Calibri"/>
                <w:color w:val="000000"/>
                <w:sz w:val="20"/>
                <w:szCs w:val="20"/>
              </w:rPr>
            </w:pPr>
            <w:r w:rsidRPr="009D33B7">
              <w:rPr>
                <w:rFonts w:ascii="Aptos" w:hAnsi="Aptos" w:cs="Calibri"/>
                <w:color w:val="000000"/>
                <w:sz w:val="20"/>
                <w:szCs w:val="20"/>
              </w:rPr>
              <w:t>231</w:t>
            </w:r>
            <w:r>
              <w:rPr>
                <w:rFonts w:ascii="Aptos" w:hAnsi="Aptos" w:cs="Calibri"/>
                <w:color w:val="000000"/>
                <w:sz w:val="20"/>
                <w:szCs w:val="20"/>
              </w:rPr>
              <w:t>.</w:t>
            </w:r>
            <w:r w:rsidRPr="009D33B7">
              <w:rPr>
                <w:rFonts w:ascii="Aptos" w:hAnsi="Aptos" w:cs="Calibri"/>
                <w:color w:val="000000"/>
                <w:sz w:val="20"/>
                <w:szCs w:val="20"/>
              </w:rPr>
              <w:t>463</w:t>
            </w:r>
          </w:p>
        </w:tc>
        <w:tc>
          <w:tcPr>
            <w:tcW w:w="283" w:type="dxa"/>
            <w:tcBorders>
              <w:top w:val="nil"/>
              <w:left w:val="nil"/>
              <w:bottom w:val="nil"/>
              <w:right w:val="nil"/>
            </w:tcBorders>
            <w:noWrap/>
            <w:vAlign w:val="bottom"/>
          </w:tcPr>
          <w:p w14:paraId="2C017B39"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4FE10E27" w14:textId="56F5284E"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137</w:t>
            </w:r>
            <w:r>
              <w:rPr>
                <w:rFonts w:ascii="Aptos" w:hAnsi="Aptos" w:cs="Calibri"/>
                <w:color w:val="000000"/>
                <w:sz w:val="20"/>
                <w:szCs w:val="20"/>
              </w:rPr>
              <w:t>.</w:t>
            </w:r>
            <w:r w:rsidRPr="00BE5E19">
              <w:rPr>
                <w:rFonts w:ascii="Aptos" w:hAnsi="Aptos" w:cs="Calibri"/>
                <w:color w:val="000000"/>
                <w:sz w:val="20"/>
                <w:szCs w:val="20"/>
              </w:rPr>
              <w:t>830</w:t>
            </w:r>
          </w:p>
        </w:tc>
      </w:tr>
      <w:tr w:rsidR="005E46E0" w:rsidRPr="00BE5E19" w14:paraId="729885AA"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06A179AC" w14:textId="5032446A"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Συμβατικά περιουσιακά στοιχεία</w:t>
            </w:r>
          </w:p>
        </w:tc>
        <w:tc>
          <w:tcPr>
            <w:tcW w:w="1985" w:type="dxa"/>
            <w:tcBorders>
              <w:top w:val="nil"/>
              <w:left w:val="nil"/>
              <w:bottom w:val="nil"/>
              <w:right w:val="nil"/>
            </w:tcBorders>
            <w:shd w:val="clear" w:color="auto" w:fill="E2EFD9"/>
            <w:noWrap/>
            <w:vAlign w:val="bottom"/>
          </w:tcPr>
          <w:p w14:paraId="7BC56EBB" w14:textId="437BE56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313</w:t>
            </w:r>
            <w:r>
              <w:rPr>
                <w:rFonts w:ascii="Aptos" w:hAnsi="Aptos" w:cs="Calibri"/>
                <w:color w:val="000000"/>
                <w:sz w:val="20"/>
                <w:szCs w:val="20"/>
              </w:rPr>
              <w:t>.</w:t>
            </w:r>
            <w:r w:rsidRPr="00BE5E19">
              <w:rPr>
                <w:rFonts w:ascii="Aptos" w:hAnsi="Aptos" w:cs="Calibri"/>
                <w:color w:val="000000"/>
                <w:sz w:val="20"/>
                <w:szCs w:val="20"/>
              </w:rPr>
              <w:t>719</w:t>
            </w:r>
          </w:p>
        </w:tc>
        <w:tc>
          <w:tcPr>
            <w:tcW w:w="283" w:type="dxa"/>
            <w:tcBorders>
              <w:top w:val="nil"/>
              <w:left w:val="nil"/>
              <w:bottom w:val="nil"/>
              <w:right w:val="nil"/>
            </w:tcBorders>
            <w:noWrap/>
            <w:vAlign w:val="bottom"/>
          </w:tcPr>
          <w:p w14:paraId="6036056D"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137B0C6E" w14:textId="356CAF49"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262</w:t>
            </w:r>
            <w:r>
              <w:rPr>
                <w:rFonts w:ascii="Aptos" w:hAnsi="Aptos" w:cs="Calibri"/>
                <w:color w:val="000000"/>
                <w:sz w:val="20"/>
                <w:szCs w:val="20"/>
              </w:rPr>
              <w:t>.</w:t>
            </w:r>
            <w:r w:rsidRPr="00BE5E19">
              <w:rPr>
                <w:rFonts w:ascii="Aptos" w:hAnsi="Aptos" w:cs="Calibri"/>
                <w:color w:val="000000"/>
                <w:sz w:val="20"/>
                <w:szCs w:val="20"/>
              </w:rPr>
              <w:t>596</w:t>
            </w:r>
          </w:p>
        </w:tc>
      </w:tr>
      <w:tr w:rsidR="005E46E0" w:rsidRPr="00BE5E19" w14:paraId="6DA57C2C"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604CC351" w14:textId="07B93C89"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Κόστος συμβάσεων</w:t>
            </w:r>
          </w:p>
        </w:tc>
        <w:tc>
          <w:tcPr>
            <w:tcW w:w="1985" w:type="dxa"/>
            <w:tcBorders>
              <w:top w:val="nil"/>
              <w:left w:val="nil"/>
              <w:bottom w:val="nil"/>
              <w:right w:val="nil"/>
            </w:tcBorders>
            <w:shd w:val="clear" w:color="auto" w:fill="E2EFD9"/>
            <w:noWrap/>
            <w:vAlign w:val="bottom"/>
          </w:tcPr>
          <w:p w14:paraId="7BEDDE4D" w14:textId="7E204C4D"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16</w:t>
            </w:r>
          </w:p>
        </w:tc>
        <w:tc>
          <w:tcPr>
            <w:tcW w:w="283" w:type="dxa"/>
            <w:tcBorders>
              <w:top w:val="nil"/>
              <w:left w:val="nil"/>
              <w:bottom w:val="nil"/>
              <w:right w:val="nil"/>
            </w:tcBorders>
            <w:noWrap/>
            <w:vAlign w:val="bottom"/>
          </w:tcPr>
          <w:p w14:paraId="6F76350B"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24DDD79E" w14:textId="5516359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28</w:t>
            </w:r>
          </w:p>
        </w:tc>
      </w:tr>
      <w:tr w:rsidR="005E46E0" w:rsidRPr="00BE5E19" w14:paraId="22B30B99"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00999189" w14:textId="7933FE3D" w:rsidR="005E46E0" w:rsidRPr="00BE5E19" w:rsidRDefault="005E46E0" w:rsidP="005E0EB8">
            <w:pPr>
              <w:spacing w:after="0" w:line="240" w:lineRule="auto"/>
              <w:jc w:val="both"/>
              <w:rPr>
                <w:rFonts w:ascii="Aptos" w:eastAsia="Times New Roman" w:hAnsi="Aptos"/>
                <w:sz w:val="20"/>
                <w:szCs w:val="20"/>
                <w:lang w:val="en-GB" w:eastAsia="el-GR"/>
              </w:rPr>
            </w:pPr>
            <w:r w:rsidRPr="001E1018">
              <w:rPr>
                <w:color w:val="000000"/>
                <w:sz w:val="20"/>
              </w:rPr>
              <w:t>Προκαταβολή φόρου εισοδήματος</w:t>
            </w:r>
          </w:p>
        </w:tc>
        <w:tc>
          <w:tcPr>
            <w:tcW w:w="1985" w:type="dxa"/>
            <w:tcBorders>
              <w:top w:val="nil"/>
              <w:left w:val="nil"/>
              <w:bottom w:val="nil"/>
              <w:right w:val="nil"/>
            </w:tcBorders>
            <w:shd w:val="clear" w:color="auto" w:fill="E2EFD9"/>
            <w:noWrap/>
            <w:vAlign w:val="bottom"/>
          </w:tcPr>
          <w:p w14:paraId="1E70D777" w14:textId="1D5388F6"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10</w:t>
            </w:r>
            <w:r>
              <w:rPr>
                <w:rFonts w:ascii="Aptos" w:hAnsi="Aptos" w:cs="Calibri"/>
                <w:color w:val="000000"/>
                <w:sz w:val="20"/>
                <w:szCs w:val="20"/>
              </w:rPr>
              <w:t>.</w:t>
            </w:r>
            <w:r w:rsidRPr="00BE5E19">
              <w:rPr>
                <w:rFonts w:ascii="Aptos" w:hAnsi="Aptos" w:cs="Calibri"/>
                <w:color w:val="000000"/>
                <w:sz w:val="20"/>
                <w:szCs w:val="20"/>
              </w:rPr>
              <w:t>876</w:t>
            </w:r>
          </w:p>
        </w:tc>
        <w:tc>
          <w:tcPr>
            <w:tcW w:w="283" w:type="dxa"/>
            <w:tcBorders>
              <w:top w:val="nil"/>
              <w:left w:val="nil"/>
              <w:bottom w:val="nil"/>
              <w:right w:val="nil"/>
            </w:tcBorders>
            <w:noWrap/>
            <w:vAlign w:val="bottom"/>
          </w:tcPr>
          <w:p w14:paraId="6A06A78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1C55CD56" w14:textId="3BADBF4F"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10</w:t>
            </w:r>
            <w:r>
              <w:rPr>
                <w:rFonts w:ascii="Aptos" w:hAnsi="Aptos" w:cs="Calibri"/>
                <w:color w:val="000000"/>
                <w:sz w:val="20"/>
                <w:szCs w:val="20"/>
              </w:rPr>
              <w:t>.</w:t>
            </w:r>
            <w:r w:rsidRPr="00BE5E19">
              <w:rPr>
                <w:rFonts w:ascii="Aptos" w:hAnsi="Aptos" w:cs="Calibri"/>
                <w:color w:val="000000"/>
                <w:sz w:val="20"/>
                <w:szCs w:val="20"/>
              </w:rPr>
              <w:t>914</w:t>
            </w:r>
          </w:p>
        </w:tc>
      </w:tr>
      <w:tr w:rsidR="005E46E0" w:rsidRPr="00BE5E19" w14:paraId="55C4427E"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49D0BEA1" w14:textId="48F32DAC"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Παράγωγα</w:t>
            </w:r>
          </w:p>
        </w:tc>
        <w:tc>
          <w:tcPr>
            <w:tcW w:w="1985" w:type="dxa"/>
            <w:tcBorders>
              <w:top w:val="nil"/>
              <w:left w:val="nil"/>
              <w:bottom w:val="nil"/>
              <w:right w:val="nil"/>
            </w:tcBorders>
            <w:shd w:val="clear" w:color="auto" w:fill="E2EFD9"/>
            <w:noWrap/>
            <w:vAlign w:val="bottom"/>
          </w:tcPr>
          <w:p w14:paraId="682DFC5B" w14:textId="01476240"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w:t>
            </w:r>
            <w:r>
              <w:rPr>
                <w:rFonts w:ascii="Aptos" w:hAnsi="Aptos" w:cs="Calibri"/>
                <w:color w:val="000000"/>
                <w:sz w:val="20"/>
                <w:szCs w:val="20"/>
              </w:rPr>
              <w:t>.</w:t>
            </w:r>
            <w:r w:rsidRPr="00BE5E19">
              <w:rPr>
                <w:rFonts w:ascii="Aptos" w:hAnsi="Aptos" w:cs="Calibri"/>
                <w:color w:val="000000"/>
                <w:sz w:val="20"/>
                <w:szCs w:val="20"/>
              </w:rPr>
              <w:t>296</w:t>
            </w:r>
          </w:p>
        </w:tc>
        <w:tc>
          <w:tcPr>
            <w:tcW w:w="283" w:type="dxa"/>
            <w:tcBorders>
              <w:top w:val="nil"/>
              <w:left w:val="nil"/>
              <w:bottom w:val="nil"/>
              <w:right w:val="nil"/>
            </w:tcBorders>
            <w:noWrap/>
            <w:vAlign w:val="bottom"/>
          </w:tcPr>
          <w:p w14:paraId="47370F0B"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2648E6A0" w14:textId="3FBB85E6"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29</w:t>
            </w:r>
            <w:r>
              <w:rPr>
                <w:rFonts w:ascii="Aptos" w:hAnsi="Aptos" w:cs="Calibri"/>
                <w:color w:val="000000"/>
                <w:sz w:val="20"/>
                <w:szCs w:val="20"/>
              </w:rPr>
              <w:t>.</w:t>
            </w:r>
            <w:r w:rsidRPr="00BE5E19">
              <w:rPr>
                <w:rFonts w:ascii="Aptos" w:hAnsi="Aptos" w:cs="Calibri"/>
                <w:color w:val="000000"/>
                <w:sz w:val="20"/>
                <w:szCs w:val="20"/>
              </w:rPr>
              <w:t>246</w:t>
            </w:r>
          </w:p>
        </w:tc>
      </w:tr>
      <w:tr w:rsidR="005E46E0" w:rsidRPr="00BE5E19" w14:paraId="013845F9"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6537C8B8" w14:textId="18C33767" w:rsidR="005E46E0" w:rsidRPr="00BE5E19" w:rsidRDefault="005E46E0" w:rsidP="005E0EB8">
            <w:pPr>
              <w:spacing w:after="0" w:line="240" w:lineRule="auto"/>
              <w:jc w:val="both"/>
              <w:rPr>
                <w:rFonts w:ascii="Aptos" w:eastAsia="Times New Roman" w:hAnsi="Aptos"/>
                <w:sz w:val="20"/>
                <w:szCs w:val="20"/>
                <w:lang w:val="en-GB" w:eastAsia="el-GR"/>
              </w:rPr>
            </w:pPr>
            <w:r>
              <w:rPr>
                <w:color w:val="000000"/>
                <w:sz w:val="20"/>
              </w:rPr>
              <w:t>Τ</w:t>
            </w:r>
            <w:r w:rsidRPr="006C0543">
              <w:rPr>
                <w:color w:val="000000"/>
                <w:sz w:val="20"/>
              </w:rPr>
              <w:t xml:space="preserve">αμειακά </w:t>
            </w:r>
            <w:r>
              <w:rPr>
                <w:color w:val="000000"/>
                <w:sz w:val="20"/>
              </w:rPr>
              <w:t>δ</w:t>
            </w:r>
            <w:r w:rsidRPr="006C0543">
              <w:rPr>
                <w:color w:val="000000"/>
                <w:sz w:val="20"/>
              </w:rPr>
              <w:t>ιαθέσιμα και ισοδύναμα</w:t>
            </w:r>
          </w:p>
        </w:tc>
        <w:tc>
          <w:tcPr>
            <w:tcW w:w="1985" w:type="dxa"/>
            <w:tcBorders>
              <w:top w:val="nil"/>
              <w:left w:val="nil"/>
              <w:bottom w:val="nil"/>
              <w:right w:val="nil"/>
            </w:tcBorders>
            <w:shd w:val="clear" w:color="auto" w:fill="E2EFD9"/>
            <w:noWrap/>
            <w:vAlign w:val="bottom"/>
          </w:tcPr>
          <w:p w14:paraId="281C18BB" w14:textId="15894F64"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282</w:t>
            </w:r>
            <w:r>
              <w:rPr>
                <w:rFonts w:ascii="Aptos" w:hAnsi="Aptos" w:cs="Calibri"/>
                <w:color w:val="000000"/>
                <w:sz w:val="20"/>
                <w:szCs w:val="20"/>
              </w:rPr>
              <w:t>.</w:t>
            </w:r>
            <w:r w:rsidRPr="00BE5E19">
              <w:rPr>
                <w:rFonts w:ascii="Aptos" w:hAnsi="Aptos" w:cs="Calibri"/>
                <w:color w:val="000000"/>
                <w:sz w:val="20"/>
                <w:szCs w:val="20"/>
              </w:rPr>
              <w:t>484</w:t>
            </w:r>
          </w:p>
        </w:tc>
        <w:tc>
          <w:tcPr>
            <w:tcW w:w="283" w:type="dxa"/>
            <w:tcBorders>
              <w:top w:val="nil"/>
              <w:left w:val="nil"/>
              <w:bottom w:val="nil"/>
              <w:right w:val="nil"/>
            </w:tcBorders>
            <w:noWrap/>
            <w:vAlign w:val="bottom"/>
          </w:tcPr>
          <w:p w14:paraId="58ED884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2B915360" w14:textId="391A9EB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442</w:t>
            </w:r>
            <w:r>
              <w:rPr>
                <w:rFonts w:ascii="Aptos" w:hAnsi="Aptos" w:cs="Calibri"/>
                <w:color w:val="000000"/>
                <w:sz w:val="20"/>
                <w:szCs w:val="20"/>
              </w:rPr>
              <w:t>.</w:t>
            </w:r>
            <w:r w:rsidRPr="00BE5E19">
              <w:rPr>
                <w:rFonts w:ascii="Aptos" w:hAnsi="Aptos" w:cs="Calibri"/>
                <w:color w:val="000000"/>
                <w:sz w:val="20"/>
                <w:szCs w:val="20"/>
              </w:rPr>
              <w:t>508</w:t>
            </w:r>
          </w:p>
        </w:tc>
      </w:tr>
      <w:tr w:rsidR="005E46E0" w:rsidRPr="00BE5E19" w14:paraId="46AC30D6"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66E1087E" w14:textId="77777777" w:rsidR="005E46E0" w:rsidRPr="00BE5E19" w:rsidRDefault="005E46E0" w:rsidP="005E0EB8">
            <w:pPr>
              <w:spacing w:after="0" w:line="240" w:lineRule="auto"/>
              <w:jc w:val="both"/>
              <w:rPr>
                <w:rFonts w:ascii="Aptos" w:eastAsia="Times New Roman" w:hAnsi="Aptos"/>
                <w:sz w:val="20"/>
                <w:szCs w:val="20"/>
                <w:lang w:val="en-GB" w:eastAsia="el-GR"/>
              </w:rPr>
            </w:pPr>
          </w:p>
        </w:tc>
        <w:tc>
          <w:tcPr>
            <w:tcW w:w="1985" w:type="dxa"/>
            <w:tcBorders>
              <w:top w:val="single" w:sz="4" w:space="0" w:color="auto"/>
              <w:left w:val="nil"/>
              <w:bottom w:val="single" w:sz="4" w:space="0" w:color="auto"/>
              <w:right w:val="nil"/>
            </w:tcBorders>
            <w:shd w:val="clear" w:color="auto" w:fill="E2EFD9"/>
            <w:noWrap/>
            <w:vAlign w:val="bottom"/>
          </w:tcPr>
          <w:p w14:paraId="620FBBF7" w14:textId="5A5DC123"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586</w:t>
            </w:r>
            <w:r>
              <w:rPr>
                <w:rFonts w:ascii="Aptos" w:hAnsi="Aptos" w:cs="Calibri"/>
                <w:b/>
                <w:bCs/>
                <w:color w:val="000000"/>
                <w:sz w:val="20"/>
                <w:szCs w:val="20"/>
              </w:rPr>
              <w:t>.</w:t>
            </w:r>
            <w:r w:rsidRPr="0025770E">
              <w:rPr>
                <w:rFonts w:ascii="Aptos" w:hAnsi="Aptos" w:cs="Calibri"/>
                <w:b/>
                <w:bCs/>
                <w:color w:val="000000"/>
                <w:sz w:val="20"/>
                <w:szCs w:val="20"/>
              </w:rPr>
              <w:t>036</w:t>
            </w:r>
          </w:p>
        </w:tc>
        <w:tc>
          <w:tcPr>
            <w:tcW w:w="283" w:type="dxa"/>
            <w:tcBorders>
              <w:top w:val="nil"/>
              <w:left w:val="nil"/>
              <w:bottom w:val="nil"/>
              <w:right w:val="nil"/>
            </w:tcBorders>
            <w:noWrap/>
            <w:vAlign w:val="bottom"/>
          </w:tcPr>
          <w:p w14:paraId="10AAD125"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042626D3" w14:textId="264C1831"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1</w:t>
            </w:r>
            <w:r>
              <w:rPr>
                <w:rFonts w:ascii="Aptos" w:hAnsi="Aptos" w:cs="Calibri"/>
                <w:b/>
                <w:bCs/>
                <w:color w:val="000000"/>
                <w:sz w:val="20"/>
                <w:szCs w:val="20"/>
              </w:rPr>
              <w:t>.</w:t>
            </w:r>
            <w:r w:rsidRPr="0025770E">
              <w:rPr>
                <w:rFonts w:ascii="Aptos" w:hAnsi="Aptos" w:cs="Calibri"/>
                <w:b/>
                <w:bCs/>
                <w:color w:val="000000"/>
                <w:sz w:val="20"/>
                <w:szCs w:val="20"/>
              </w:rPr>
              <w:t>448</w:t>
            </w:r>
            <w:r>
              <w:rPr>
                <w:rFonts w:ascii="Aptos" w:hAnsi="Aptos" w:cs="Calibri"/>
                <w:b/>
                <w:bCs/>
                <w:color w:val="000000"/>
                <w:sz w:val="20"/>
                <w:szCs w:val="20"/>
              </w:rPr>
              <w:t>.</w:t>
            </w:r>
            <w:r w:rsidRPr="0025770E">
              <w:rPr>
                <w:rFonts w:ascii="Aptos" w:hAnsi="Aptos" w:cs="Calibri"/>
                <w:b/>
                <w:bCs/>
                <w:color w:val="000000"/>
                <w:sz w:val="20"/>
                <w:szCs w:val="20"/>
              </w:rPr>
              <w:t>591</w:t>
            </w:r>
          </w:p>
        </w:tc>
      </w:tr>
      <w:tr w:rsidR="005E46E0" w:rsidRPr="00BE5E19" w14:paraId="7AD037B0"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56DA66D2" w14:textId="0852D766" w:rsidR="005E46E0" w:rsidRPr="00BE5E19" w:rsidRDefault="005E46E0" w:rsidP="005E0EB8">
            <w:pPr>
              <w:spacing w:after="0" w:line="240" w:lineRule="auto"/>
              <w:jc w:val="both"/>
              <w:rPr>
                <w:rFonts w:ascii="Aptos" w:eastAsia="Times New Roman" w:hAnsi="Aptos"/>
                <w:b/>
                <w:bCs/>
                <w:sz w:val="20"/>
                <w:szCs w:val="20"/>
                <w:lang w:val="en-GB" w:eastAsia="el-GR"/>
              </w:rPr>
            </w:pPr>
            <w:r w:rsidRPr="00EA17AD">
              <w:rPr>
                <w:rFonts w:eastAsia="Times New Roman"/>
                <w:b/>
                <w:bCs/>
                <w:sz w:val="20"/>
                <w:szCs w:val="20"/>
                <w:lang w:eastAsia="el-GR"/>
              </w:rPr>
              <w:t>Σύνολο ενεργητικού</w:t>
            </w:r>
          </w:p>
        </w:tc>
        <w:tc>
          <w:tcPr>
            <w:tcW w:w="1985" w:type="dxa"/>
            <w:tcBorders>
              <w:top w:val="nil"/>
              <w:left w:val="nil"/>
              <w:bottom w:val="single" w:sz="4" w:space="0" w:color="auto"/>
              <w:right w:val="nil"/>
            </w:tcBorders>
            <w:shd w:val="clear" w:color="auto" w:fill="E2EFD9"/>
            <w:noWrap/>
            <w:vAlign w:val="bottom"/>
          </w:tcPr>
          <w:p w14:paraId="13A76168" w14:textId="6DB8C4E8"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898</w:t>
            </w:r>
            <w:r>
              <w:rPr>
                <w:rFonts w:ascii="Aptos" w:hAnsi="Aptos" w:cs="Calibri"/>
                <w:b/>
                <w:bCs/>
                <w:color w:val="000000"/>
                <w:sz w:val="20"/>
                <w:szCs w:val="20"/>
              </w:rPr>
              <w:t>.</w:t>
            </w:r>
            <w:r w:rsidRPr="0025770E">
              <w:rPr>
                <w:rFonts w:ascii="Aptos" w:hAnsi="Aptos" w:cs="Calibri"/>
                <w:b/>
                <w:bCs/>
                <w:color w:val="000000"/>
                <w:sz w:val="20"/>
                <w:szCs w:val="20"/>
              </w:rPr>
              <w:t>067</w:t>
            </w:r>
          </w:p>
        </w:tc>
        <w:tc>
          <w:tcPr>
            <w:tcW w:w="283" w:type="dxa"/>
            <w:tcBorders>
              <w:top w:val="nil"/>
              <w:left w:val="nil"/>
              <w:bottom w:val="nil"/>
              <w:right w:val="nil"/>
            </w:tcBorders>
            <w:noWrap/>
            <w:vAlign w:val="bottom"/>
          </w:tcPr>
          <w:p w14:paraId="17508177"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nil"/>
              <w:left w:val="nil"/>
              <w:bottom w:val="single" w:sz="4" w:space="0" w:color="auto"/>
              <w:right w:val="nil"/>
            </w:tcBorders>
            <w:noWrap/>
            <w:vAlign w:val="bottom"/>
            <w:hideMark/>
          </w:tcPr>
          <w:p w14:paraId="06836BEE" w14:textId="25FC8DB9"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2</w:t>
            </w:r>
            <w:r>
              <w:rPr>
                <w:rFonts w:ascii="Aptos" w:hAnsi="Aptos" w:cs="Calibri"/>
                <w:b/>
                <w:bCs/>
                <w:color w:val="000000"/>
                <w:sz w:val="20"/>
                <w:szCs w:val="20"/>
              </w:rPr>
              <w:t>.</w:t>
            </w:r>
            <w:r w:rsidRPr="0025770E">
              <w:rPr>
                <w:rFonts w:ascii="Aptos" w:hAnsi="Aptos" w:cs="Calibri"/>
                <w:b/>
                <w:bCs/>
                <w:color w:val="000000"/>
                <w:sz w:val="20"/>
                <w:szCs w:val="20"/>
              </w:rPr>
              <w:t>622</w:t>
            </w:r>
            <w:r>
              <w:rPr>
                <w:rFonts w:ascii="Aptos" w:hAnsi="Aptos" w:cs="Calibri"/>
                <w:b/>
                <w:bCs/>
                <w:color w:val="000000"/>
                <w:sz w:val="20"/>
                <w:szCs w:val="20"/>
              </w:rPr>
              <w:t>.</w:t>
            </w:r>
            <w:r w:rsidRPr="0025770E">
              <w:rPr>
                <w:rFonts w:ascii="Aptos" w:hAnsi="Aptos" w:cs="Calibri"/>
                <w:b/>
                <w:bCs/>
                <w:color w:val="000000"/>
                <w:sz w:val="20"/>
                <w:szCs w:val="20"/>
              </w:rPr>
              <w:t>588</w:t>
            </w:r>
          </w:p>
        </w:tc>
      </w:tr>
      <w:tr w:rsidR="005E46E0" w:rsidRPr="00BE5E19" w14:paraId="0C0E6235"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20F55DEA" w14:textId="374884C4" w:rsidR="005E46E0" w:rsidRPr="00BE5E19" w:rsidRDefault="005E46E0" w:rsidP="005E0EB8">
            <w:pPr>
              <w:spacing w:after="0" w:line="240" w:lineRule="auto"/>
              <w:jc w:val="both"/>
              <w:rPr>
                <w:rFonts w:ascii="Aptos" w:eastAsia="Times New Roman" w:hAnsi="Aptos"/>
                <w:b/>
                <w:bCs/>
                <w:sz w:val="20"/>
                <w:szCs w:val="20"/>
                <w:lang w:val="en-GB" w:eastAsia="el-GR"/>
              </w:rPr>
            </w:pPr>
            <w:r w:rsidRPr="00EA17AD">
              <w:rPr>
                <w:rFonts w:eastAsia="Times New Roman"/>
                <w:b/>
                <w:bCs/>
                <w:sz w:val="20"/>
                <w:szCs w:val="20"/>
                <w:lang w:eastAsia="el-GR"/>
              </w:rPr>
              <w:t>ΙΔΙΑ ΚΕΦΑΛΑΙΑ</w:t>
            </w:r>
          </w:p>
        </w:tc>
        <w:tc>
          <w:tcPr>
            <w:tcW w:w="1985" w:type="dxa"/>
            <w:tcBorders>
              <w:top w:val="nil"/>
              <w:left w:val="nil"/>
              <w:bottom w:val="nil"/>
              <w:right w:val="nil"/>
            </w:tcBorders>
            <w:shd w:val="clear" w:color="auto" w:fill="E2EFD9"/>
            <w:noWrap/>
            <w:vAlign w:val="bottom"/>
          </w:tcPr>
          <w:p w14:paraId="0020A0F8" w14:textId="6AF1853D"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7ECBFE1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72DFBACE" w14:textId="6999A76D"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 </w:t>
            </w:r>
          </w:p>
        </w:tc>
      </w:tr>
      <w:tr w:rsidR="005E46E0" w:rsidRPr="00BE5E19" w14:paraId="08130B29"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EDA37FD" w14:textId="2CBA3F99" w:rsidR="005E46E0" w:rsidRPr="00BE5E19" w:rsidRDefault="005E46E0" w:rsidP="005E0EB8">
            <w:pPr>
              <w:spacing w:after="0" w:line="240" w:lineRule="auto"/>
              <w:jc w:val="both"/>
              <w:rPr>
                <w:rFonts w:ascii="Aptos" w:eastAsia="Times New Roman" w:hAnsi="Aptos"/>
                <w:sz w:val="20"/>
                <w:szCs w:val="20"/>
                <w:lang w:val="en-GB" w:eastAsia="el-GR"/>
              </w:rPr>
            </w:pPr>
            <w:r w:rsidRPr="00EA17AD">
              <w:rPr>
                <w:rFonts w:eastAsia="Times New Roman"/>
                <w:sz w:val="20"/>
                <w:szCs w:val="20"/>
                <w:lang w:eastAsia="el-GR"/>
              </w:rPr>
              <w:t>Μετοχικό κεφάλαιο</w:t>
            </w:r>
          </w:p>
        </w:tc>
        <w:tc>
          <w:tcPr>
            <w:tcW w:w="1985" w:type="dxa"/>
            <w:tcBorders>
              <w:top w:val="nil"/>
              <w:left w:val="nil"/>
              <w:bottom w:val="nil"/>
              <w:right w:val="nil"/>
            </w:tcBorders>
            <w:shd w:val="clear" w:color="auto" w:fill="E2EFD9"/>
            <w:noWrap/>
            <w:vAlign w:val="bottom"/>
          </w:tcPr>
          <w:p w14:paraId="34A2A93F" w14:textId="748F6D3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131</w:t>
            </w:r>
            <w:r>
              <w:rPr>
                <w:rFonts w:ascii="Aptos" w:hAnsi="Aptos" w:cs="Calibri"/>
                <w:color w:val="000000"/>
                <w:sz w:val="20"/>
                <w:szCs w:val="20"/>
              </w:rPr>
              <w:t>.</w:t>
            </w:r>
            <w:r w:rsidRPr="00BE5E19">
              <w:rPr>
                <w:rFonts w:ascii="Aptos" w:hAnsi="Aptos" w:cs="Calibri"/>
                <w:color w:val="000000"/>
                <w:sz w:val="20"/>
                <w:szCs w:val="20"/>
              </w:rPr>
              <w:t>669</w:t>
            </w:r>
          </w:p>
        </w:tc>
        <w:tc>
          <w:tcPr>
            <w:tcW w:w="283" w:type="dxa"/>
            <w:tcBorders>
              <w:top w:val="nil"/>
              <w:left w:val="nil"/>
              <w:bottom w:val="nil"/>
              <w:right w:val="nil"/>
            </w:tcBorders>
            <w:noWrap/>
            <w:vAlign w:val="bottom"/>
          </w:tcPr>
          <w:p w14:paraId="5F43A289"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40BF5B01" w14:textId="1AFADF9C"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131</w:t>
            </w:r>
            <w:r>
              <w:rPr>
                <w:rFonts w:ascii="Aptos" w:hAnsi="Aptos" w:cs="Calibri"/>
                <w:color w:val="000000"/>
                <w:sz w:val="20"/>
                <w:szCs w:val="20"/>
              </w:rPr>
              <w:t>.</w:t>
            </w:r>
            <w:r w:rsidRPr="00BE5E19">
              <w:rPr>
                <w:rFonts w:ascii="Aptos" w:hAnsi="Aptos" w:cs="Calibri"/>
                <w:color w:val="000000"/>
                <w:sz w:val="20"/>
                <w:szCs w:val="20"/>
              </w:rPr>
              <w:t>669</w:t>
            </w:r>
          </w:p>
        </w:tc>
      </w:tr>
      <w:tr w:rsidR="005E46E0" w:rsidRPr="00BE5E19" w14:paraId="19F11B33"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5D9FD68B" w14:textId="6550CF52" w:rsidR="005E46E0" w:rsidRPr="005E46E0" w:rsidRDefault="005E46E0" w:rsidP="005E0EB8">
            <w:pPr>
              <w:spacing w:after="0" w:line="240" w:lineRule="auto"/>
              <w:jc w:val="both"/>
              <w:rPr>
                <w:rFonts w:ascii="Aptos" w:eastAsia="Times New Roman" w:hAnsi="Aptos"/>
                <w:sz w:val="20"/>
                <w:szCs w:val="20"/>
                <w:lang w:eastAsia="el-GR"/>
              </w:rPr>
            </w:pPr>
            <w:r w:rsidRPr="00EA17AD">
              <w:rPr>
                <w:rFonts w:eastAsia="Times New Roman"/>
                <w:sz w:val="20"/>
                <w:szCs w:val="20"/>
                <w:lang w:eastAsia="el-GR"/>
              </w:rPr>
              <w:t>Διαφορά από έκδοση μετοχών υπέρ το άρτιο</w:t>
            </w:r>
          </w:p>
        </w:tc>
        <w:tc>
          <w:tcPr>
            <w:tcW w:w="1985" w:type="dxa"/>
            <w:tcBorders>
              <w:top w:val="nil"/>
              <w:left w:val="nil"/>
              <w:bottom w:val="nil"/>
              <w:right w:val="nil"/>
            </w:tcBorders>
            <w:shd w:val="clear" w:color="auto" w:fill="E2EFD9"/>
            <w:noWrap/>
            <w:vAlign w:val="bottom"/>
          </w:tcPr>
          <w:p w14:paraId="57F68A9B" w14:textId="799B879C"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232</w:t>
            </w:r>
            <w:r>
              <w:rPr>
                <w:rFonts w:ascii="Aptos" w:hAnsi="Aptos" w:cs="Calibri"/>
                <w:color w:val="000000"/>
                <w:sz w:val="20"/>
                <w:szCs w:val="20"/>
              </w:rPr>
              <w:t>.</w:t>
            </w:r>
            <w:r w:rsidRPr="00BE5E19">
              <w:rPr>
                <w:rFonts w:ascii="Aptos" w:hAnsi="Aptos" w:cs="Calibri"/>
                <w:color w:val="000000"/>
                <w:sz w:val="20"/>
                <w:szCs w:val="20"/>
              </w:rPr>
              <w:t>059</w:t>
            </w:r>
          </w:p>
        </w:tc>
        <w:tc>
          <w:tcPr>
            <w:tcW w:w="283" w:type="dxa"/>
            <w:tcBorders>
              <w:top w:val="nil"/>
              <w:left w:val="nil"/>
              <w:bottom w:val="nil"/>
              <w:right w:val="nil"/>
            </w:tcBorders>
            <w:noWrap/>
            <w:vAlign w:val="bottom"/>
          </w:tcPr>
          <w:p w14:paraId="28303CAB"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5D943639" w14:textId="1AB607FA"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232</w:t>
            </w:r>
            <w:r>
              <w:rPr>
                <w:rFonts w:ascii="Aptos" w:hAnsi="Aptos" w:cs="Calibri"/>
                <w:color w:val="000000"/>
                <w:sz w:val="20"/>
                <w:szCs w:val="20"/>
              </w:rPr>
              <w:t>.</w:t>
            </w:r>
            <w:r w:rsidRPr="00BE5E19">
              <w:rPr>
                <w:rFonts w:ascii="Aptos" w:hAnsi="Aptos" w:cs="Calibri"/>
                <w:color w:val="000000"/>
                <w:sz w:val="20"/>
                <w:szCs w:val="20"/>
              </w:rPr>
              <w:t>059</w:t>
            </w:r>
          </w:p>
        </w:tc>
      </w:tr>
      <w:tr w:rsidR="005E46E0" w:rsidRPr="00BE5E19" w14:paraId="3063D7F8" w14:textId="77777777" w:rsidTr="005E46E0">
        <w:trPr>
          <w:trHeight w:hRule="exact" w:val="255"/>
        </w:trPr>
        <w:tc>
          <w:tcPr>
            <w:tcW w:w="5670" w:type="dxa"/>
            <w:tcBorders>
              <w:top w:val="nil"/>
              <w:left w:val="nil"/>
              <w:bottom w:val="nil"/>
              <w:right w:val="nil"/>
            </w:tcBorders>
            <w:shd w:val="clear" w:color="000000" w:fill="FFFFFF"/>
            <w:noWrap/>
            <w:vAlign w:val="bottom"/>
          </w:tcPr>
          <w:p w14:paraId="6A22D8DC" w14:textId="5678EAA1" w:rsidR="005E46E0" w:rsidRPr="00BE5E19" w:rsidRDefault="005E46E0" w:rsidP="005E0EB8">
            <w:pPr>
              <w:spacing w:after="0" w:line="240" w:lineRule="auto"/>
              <w:jc w:val="both"/>
              <w:rPr>
                <w:rFonts w:ascii="Aptos" w:eastAsia="Times New Roman" w:hAnsi="Aptos"/>
                <w:sz w:val="20"/>
                <w:szCs w:val="20"/>
                <w:lang w:val="en-GB" w:eastAsia="el-GR"/>
              </w:rPr>
            </w:pPr>
            <w:r>
              <w:rPr>
                <w:rFonts w:eastAsia="Times New Roman"/>
                <w:sz w:val="20"/>
                <w:szCs w:val="20"/>
                <w:lang w:eastAsia="el-GR"/>
              </w:rPr>
              <w:t>Ιδίες Μετοχές</w:t>
            </w:r>
          </w:p>
        </w:tc>
        <w:tc>
          <w:tcPr>
            <w:tcW w:w="1985" w:type="dxa"/>
            <w:tcBorders>
              <w:top w:val="nil"/>
              <w:left w:val="nil"/>
              <w:bottom w:val="nil"/>
              <w:right w:val="nil"/>
            </w:tcBorders>
            <w:shd w:val="clear" w:color="auto" w:fill="E2EFD9"/>
            <w:noWrap/>
            <w:vAlign w:val="bottom"/>
          </w:tcPr>
          <w:p w14:paraId="55E66E8D" w14:textId="7389E2D0" w:rsidR="005E46E0" w:rsidRPr="00BE5E19"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(386)</w:t>
            </w:r>
          </w:p>
        </w:tc>
        <w:tc>
          <w:tcPr>
            <w:tcW w:w="283" w:type="dxa"/>
            <w:tcBorders>
              <w:top w:val="nil"/>
              <w:left w:val="nil"/>
              <w:bottom w:val="nil"/>
              <w:right w:val="nil"/>
            </w:tcBorders>
            <w:noWrap/>
            <w:vAlign w:val="bottom"/>
          </w:tcPr>
          <w:p w14:paraId="042BF004" w14:textId="77777777" w:rsidR="005E46E0" w:rsidRPr="00BE5E19" w:rsidRDefault="005E46E0" w:rsidP="005E0EB8">
            <w:pPr>
              <w:spacing w:after="0" w:line="240" w:lineRule="auto"/>
              <w:jc w:val="right"/>
              <w:rPr>
                <w:rFonts w:ascii="Aptos" w:hAnsi="Aptos" w:cs="Calibri"/>
                <w:color w:val="000000"/>
                <w:sz w:val="20"/>
                <w:szCs w:val="20"/>
                <w:lang w:val="en-GB"/>
              </w:rPr>
            </w:pPr>
          </w:p>
        </w:tc>
        <w:tc>
          <w:tcPr>
            <w:tcW w:w="2178" w:type="dxa"/>
            <w:tcBorders>
              <w:top w:val="nil"/>
              <w:left w:val="nil"/>
              <w:bottom w:val="nil"/>
              <w:right w:val="nil"/>
            </w:tcBorders>
            <w:noWrap/>
            <w:vAlign w:val="bottom"/>
          </w:tcPr>
          <w:p w14:paraId="24A3864C" w14:textId="274D6B25"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(680)</w:t>
            </w:r>
          </w:p>
        </w:tc>
      </w:tr>
      <w:tr w:rsidR="005E46E0" w:rsidRPr="00BE5E19" w14:paraId="31F0FCB4"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51AD3BFB" w14:textId="362D5EFB"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Αποθεματικά</w:t>
            </w:r>
          </w:p>
        </w:tc>
        <w:tc>
          <w:tcPr>
            <w:tcW w:w="1985" w:type="dxa"/>
            <w:tcBorders>
              <w:top w:val="nil"/>
              <w:left w:val="nil"/>
              <w:bottom w:val="nil"/>
              <w:right w:val="nil"/>
            </w:tcBorders>
            <w:shd w:val="clear" w:color="auto" w:fill="E2EFD9"/>
            <w:noWrap/>
            <w:vAlign w:val="bottom"/>
          </w:tcPr>
          <w:p w14:paraId="7DE2FED2" w14:textId="6561970D" w:rsidR="005E46E0" w:rsidRPr="0025770E" w:rsidRDefault="005E46E0" w:rsidP="005E0EB8">
            <w:pPr>
              <w:spacing w:after="0" w:line="240" w:lineRule="auto"/>
              <w:jc w:val="right"/>
              <w:rPr>
                <w:rFonts w:ascii="Aptos" w:hAnsi="Aptos" w:cs="Calibri"/>
                <w:color w:val="000000"/>
                <w:sz w:val="20"/>
                <w:szCs w:val="20"/>
              </w:rPr>
            </w:pPr>
            <w:r w:rsidRPr="0025770E">
              <w:rPr>
                <w:rFonts w:ascii="Aptos" w:hAnsi="Aptos" w:cs="Calibri"/>
                <w:color w:val="000000"/>
                <w:sz w:val="20"/>
                <w:szCs w:val="20"/>
              </w:rPr>
              <w:t>45</w:t>
            </w:r>
            <w:r>
              <w:rPr>
                <w:rFonts w:ascii="Aptos" w:hAnsi="Aptos" w:cs="Calibri"/>
                <w:color w:val="000000"/>
                <w:sz w:val="20"/>
                <w:szCs w:val="20"/>
              </w:rPr>
              <w:t>.</w:t>
            </w:r>
            <w:r w:rsidRPr="0025770E">
              <w:rPr>
                <w:rFonts w:ascii="Aptos" w:hAnsi="Aptos" w:cs="Calibri"/>
                <w:color w:val="000000"/>
                <w:sz w:val="20"/>
                <w:szCs w:val="20"/>
              </w:rPr>
              <w:t>085</w:t>
            </w:r>
          </w:p>
        </w:tc>
        <w:tc>
          <w:tcPr>
            <w:tcW w:w="283" w:type="dxa"/>
            <w:tcBorders>
              <w:top w:val="nil"/>
              <w:left w:val="nil"/>
              <w:bottom w:val="nil"/>
              <w:right w:val="nil"/>
            </w:tcBorders>
            <w:noWrap/>
            <w:vAlign w:val="bottom"/>
          </w:tcPr>
          <w:p w14:paraId="0856BB0C"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2527F79" w14:textId="0558E2A1"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46</w:t>
            </w:r>
            <w:r>
              <w:rPr>
                <w:rFonts w:ascii="Aptos" w:hAnsi="Aptos" w:cs="Calibri"/>
                <w:color w:val="000000"/>
                <w:sz w:val="20"/>
                <w:szCs w:val="20"/>
              </w:rPr>
              <w:t>.</w:t>
            </w:r>
            <w:r w:rsidRPr="00BE5E19">
              <w:rPr>
                <w:rFonts w:ascii="Aptos" w:hAnsi="Aptos" w:cs="Calibri"/>
                <w:color w:val="000000"/>
                <w:sz w:val="20"/>
                <w:szCs w:val="20"/>
              </w:rPr>
              <w:t>407</w:t>
            </w:r>
          </w:p>
        </w:tc>
      </w:tr>
      <w:tr w:rsidR="005E46E0" w:rsidRPr="00BE5E19" w14:paraId="2D9E8BAF"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051B64A1" w14:textId="2079EA3D" w:rsidR="005E46E0" w:rsidRPr="00BE5E19" w:rsidRDefault="005E46E0" w:rsidP="005E0EB8">
            <w:pPr>
              <w:spacing w:after="0" w:line="240" w:lineRule="auto"/>
              <w:jc w:val="both"/>
              <w:rPr>
                <w:rFonts w:ascii="Aptos" w:eastAsia="Times New Roman" w:hAnsi="Aptos"/>
                <w:sz w:val="20"/>
                <w:szCs w:val="20"/>
                <w:lang w:val="en-GB" w:eastAsia="el-GR"/>
              </w:rPr>
            </w:pPr>
            <w:r w:rsidRPr="00EA17AD">
              <w:rPr>
                <w:rFonts w:eastAsia="Times New Roman"/>
                <w:sz w:val="20"/>
                <w:szCs w:val="20"/>
                <w:lang w:eastAsia="el-GR"/>
              </w:rPr>
              <w:t>Κέρδη εις νέο</w:t>
            </w:r>
          </w:p>
        </w:tc>
        <w:tc>
          <w:tcPr>
            <w:tcW w:w="1985" w:type="dxa"/>
            <w:tcBorders>
              <w:top w:val="nil"/>
              <w:left w:val="nil"/>
              <w:bottom w:val="nil"/>
              <w:right w:val="nil"/>
            </w:tcBorders>
            <w:shd w:val="clear" w:color="auto" w:fill="E2EFD9"/>
            <w:noWrap/>
            <w:vAlign w:val="bottom"/>
          </w:tcPr>
          <w:p w14:paraId="06F039CD" w14:textId="75D2F835" w:rsidR="005E46E0" w:rsidRPr="0025770E" w:rsidRDefault="005E46E0" w:rsidP="005E0EB8">
            <w:pPr>
              <w:spacing w:after="0" w:line="240" w:lineRule="auto"/>
              <w:jc w:val="right"/>
              <w:rPr>
                <w:rFonts w:ascii="Aptos" w:hAnsi="Aptos" w:cs="Calibri"/>
                <w:color w:val="000000"/>
                <w:sz w:val="20"/>
                <w:szCs w:val="20"/>
              </w:rPr>
            </w:pPr>
            <w:r w:rsidRPr="0025770E">
              <w:rPr>
                <w:rFonts w:ascii="Aptos" w:hAnsi="Aptos" w:cs="Calibri"/>
                <w:color w:val="000000"/>
                <w:sz w:val="20"/>
                <w:szCs w:val="20"/>
              </w:rPr>
              <w:t>543</w:t>
            </w:r>
            <w:r>
              <w:rPr>
                <w:rFonts w:ascii="Aptos" w:hAnsi="Aptos" w:cs="Calibri"/>
                <w:color w:val="000000"/>
                <w:sz w:val="20"/>
                <w:szCs w:val="20"/>
              </w:rPr>
              <w:t>.</w:t>
            </w:r>
            <w:r w:rsidRPr="0025770E">
              <w:rPr>
                <w:rFonts w:ascii="Aptos" w:hAnsi="Aptos" w:cs="Calibri"/>
                <w:color w:val="000000"/>
                <w:sz w:val="20"/>
                <w:szCs w:val="20"/>
              </w:rPr>
              <w:t>777</w:t>
            </w:r>
          </w:p>
        </w:tc>
        <w:tc>
          <w:tcPr>
            <w:tcW w:w="283" w:type="dxa"/>
            <w:tcBorders>
              <w:top w:val="nil"/>
              <w:left w:val="nil"/>
              <w:bottom w:val="nil"/>
              <w:right w:val="nil"/>
            </w:tcBorders>
            <w:noWrap/>
            <w:vAlign w:val="bottom"/>
          </w:tcPr>
          <w:p w14:paraId="48E6219F"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3FA4BAC9" w14:textId="5C93C4E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472</w:t>
            </w:r>
            <w:r>
              <w:rPr>
                <w:rFonts w:ascii="Aptos" w:hAnsi="Aptos" w:cs="Calibri"/>
                <w:color w:val="000000"/>
                <w:sz w:val="20"/>
                <w:szCs w:val="20"/>
              </w:rPr>
              <w:t>.</w:t>
            </w:r>
            <w:r w:rsidRPr="00BE5E19">
              <w:rPr>
                <w:rFonts w:ascii="Aptos" w:hAnsi="Aptos" w:cs="Calibri"/>
                <w:color w:val="000000"/>
                <w:sz w:val="20"/>
                <w:szCs w:val="20"/>
              </w:rPr>
              <w:t>818</w:t>
            </w:r>
          </w:p>
        </w:tc>
      </w:tr>
      <w:tr w:rsidR="005E46E0" w:rsidRPr="00BE5E19" w14:paraId="6108F2CC"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36618A2C" w14:textId="5260705E" w:rsidR="005E46E0" w:rsidRPr="005E46E0" w:rsidRDefault="005E46E0" w:rsidP="005E0EB8">
            <w:pPr>
              <w:spacing w:after="0" w:line="240" w:lineRule="auto"/>
              <w:jc w:val="both"/>
              <w:rPr>
                <w:rFonts w:ascii="Aptos" w:eastAsia="Times New Roman" w:hAnsi="Aptos"/>
                <w:b/>
                <w:bCs/>
                <w:sz w:val="20"/>
                <w:szCs w:val="20"/>
                <w:lang w:eastAsia="el-GR"/>
              </w:rPr>
            </w:pPr>
            <w:r w:rsidRPr="006C0543">
              <w:rPr>
                <w:b/>
                <w:color w:val="000000"/>
                <w:sz w:val="20"/>
              </w:rPr>
              <w:t>Ίδια κεφάλαια μετόχων της Εταιρείας</w:t>
            </w:r>
          </w:p>
        </w:tc>
        <w:tc>
          <w:tcPr>
            <w:tcW w:w="1985" w:type="dxa"/>
            <w:tcBorders>
              <w:top w:val="single" w:sz="4" w:space="0" w:color="auto"/>
              <w:left w:val="nil"/>
              <w:bottom w:val="single" w:sz="4" w:space="0" w:color="auto"/>
              <w:right w:val="nil"/>
            </w:tcBorders>
            <w:shd w:val="clear" w:color="auto" w:fill="E2EFD9"/>
            <w:noWrap/>
            <w:vAlign w:val="bottom"/>
          </w:tcPr>
          <w:p w14:paraId="56FE8C68" w14:textId="58456A5F"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952</w:t>
            </w:r>
            <w:r>
              <w:rPr>
                <w:rFonts w:ascii="Aptos" w:hAnsi="Aptos" w:cs="Calibri"/>
                <w:b/>
                <w:bCs/>
                <w:color w:val="000000"/>
                <w:sz w:val="20"/>
                <w:szCs w:val="20"/>
              </w:rPr>
              <w:t>.</w:t>
            </w:r>
            <w:r w:rsidRPr="0025770E">
              <w:rPr>
                <w:rFonts w:ascii="Aptos" w:hAnsi="Aptos" w:cs="Calibri"/>
                <w:b/>
                <w:bCs/>
                <w:color w:val="000000"/>
                <w:sz w:val="20"/>
                <w:szCs w:val="20"/>
              </w:rPr>
              <w:t>204</w:t>
            </w:r>
          </w:p>
        </w:tc>
        <w:tc>
          <w:tcPr>
            <w:tcW w:w="283" w:type="dxa"/>
            <w:tcBorders>
              <w:top w:val="nil"/>
              <w:left w:val="nil"/>
              <w:bottom w:val="nil"/>
              <w:right w:val="nil"/>
            </w:tcBorders>
            <w:noWrap/>
            <w:vAlign w:val="bottom"/>
          </w:tcPr>
          <w:p w14:paraId="7E5D4420"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5B0B715D" w14:textId="0EB35625"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882</w:t>
            </w:r>
            <w:r>
              <w:rPr>
                <w:rFonts w:ascii="Aptos" w:hAnsi="Aptos" w:cs="Calibri"/>
                <w:b/>
                <w:bCs/>
                <w:color w:val="000000"/>
                <w:sz w:val="20"/>
                <w:szCs w:val="20"/>
              </w:rPr>
              <w:t>.</w:t>
            </w:r>
            <w:r w:rsidRPr="0025770E">
              <w:rPr>
                <w:rFonts w:ascii="Aptos" w:hAnsi="Aptos" w:cs="Calibri"/>
                <w:b/>
                <w:bCs/>
                <w:color w:val="000000"/>
                <w:sz w:val="20"/>
                <w:szCs w:val="20"/>
              </w:rPr>
              <w:t>272</w:t>
            </w:r>
          </w:p>
        </w:tc>
      </w:tr>
      <w:tr w:rsidR="005E46E0" w:rsidRPr="00BE5E19" w14:paraId="071A6BF5"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2F57592C" w14:textId="67053A3D"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Δικαιώματα μειοψηφίας</w:t>
            </w:r>
          </w:p>
        </w:tc>
        <w:tc>
          <w:tcPr>
            <w:tcW w:w="1985" w:type="dxa"/>
            <w:tcBorders>
              <w:top w:val="nil"/>
              <w:left w:val="nil"/>
              <w:bottom w:val="nil"/>
              <w:right w:val="nil"/>
            </w:tcBorders>
            <w:shd w:val="clear" w:color="auto" w:fill="E2EFD9"/>
            <w:noWrap/>
            <w:vAlign w:val="bottom"/>
          </w:tcPr>
          <w:p w14:paraId="4504B763" w14:textId="464DEC2B"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8</w:t>
            </w:r>
          </w:p>
        </w:tc>
        <w:tc>
          <w:tcPr>
            <w:tcW w:w="283" w:type="dxa"/>
            <w:tcBorders>
              <w:top w:val="nil"/>
              <w:left w:val="nil"/>
              <w:bottom w:val="nil"/>
              <w:right w:val="nil"/>
            </w:tcBorders>
            <w:noWrap/>
            <w:vAlign w:val="bottom"/>
          </w:tcPr>
          <w:p w14:paraId="60FC38F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47223A11" w14:textId="47567DBB"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9</w:t>
            </w:r>
          </w:p>
        </w:tc>
      </w:tr>
      <w:tr w:rsidR="005E46E0" w:rsidRPr="00BE5E19" w14:paraId="6F67ECC5"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1BAC37F3" w14:textId="3F480C85"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Σύνολο ιδίων κεφαλαίων</w:t>
            </w:r>
          </w:p>
        </w:tc>
        <w:tc>
          <w:tcPr>
            <w:tcW w:w="1985" w:type="dxa"/>
            <w:tcBorders>
              <w:top w:val="single" w:sz="4" w:space="0" w:color="auto"/>
              <w:left w:val="nil"/>
              <w:bottom w:val="single" w:sz="4" w:space="0" w:color="auto"/>
              <w:right w:val="nil"/>
            </w:tcBorders>
            <w:shd w:val="clear" w:color="auto" w:fill="E2EFD9"/>
            <w:noWrap/>
            <w:vAlign w:val="bottom"/>
          </w:tcPr>
          <w:p w14:paraId="38EB239E" w14:textId="1F504B57"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952</w:t>
            </w:r>
            <w:r>
              <w:rPr>
                <w:rFonts w:ascii="Aptos" w:hAnsi="Aptos" w:cs="Calibri"/>
                <w:b/>
                <w:bCs/>
                <w:color w:val="000000"/>
                <w:sz w:val="20"/>
                <w:szCs w:val="20"/>
              </w:rPr>
              <w:t>.</w:t>
            </w:r>
            <w:r w:rsidRPr="0025770E">
              <w:rPr>
                <w:rFonts w:ascii="Aptos" w:hAnsi="Aptos" w:cs="Calibri"/>
                <w:b/>
                <w:bCs/>
                <w:color w:val="000000"/>
                <w:sz w:val="20"/>
                <w:szCs w:val="20"/>
              </w:rPr>
              <w:t>211</w:t>
            </w:r>
          </w:p>
        </w:tc>
        <w:tc>
          <w:tcPr>
            <w:tcW w:w="283" w:type="dxa"/>
            <w:tcBorders>
              <w:top w:val="nil"/>
              <w:left w:val="nil"/>
              <w:bottom w:val="nil"/>
              <w:right w:val="nil"/>
            </w:tcBorders>
            <w:noWrap/>
            <w:vAlign w:val="bottom"/>
          </w:tcPr>
          <w:p w14:paraId="2FC24309"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4A92738E" w14:textId="44CC2CF4"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882</w:t>
            </w:r>
            <w:r>
              <w:rPr>
                <w:rFonts w:ascii="Aptos" w:hAnsi="Aptos" w:cs="Calibri"/>
                <w:b/>
                <w:bCs/>
                <w:color w:val="000000"/>
                <w:sz w:val="20"/>
                <w:szCs w:val="20"/>
              </w:rPr>
              <w:t>.</w:t>
            </w:r>
            <w:r w:rsidRPr="0025770E">
              <w:rPr>
                <w:rFonts w:ascii="Aptos" w:hAnsi="Aptos" w:cs="Calibri"/>
                <w:b/>
                <w:bCs/>
                <w:color w:val="000000"/>
                <w:sz w:val="20"/>
                <w:szCs w:val="20"/>
              </w:rPr>
              <w:t>281</w:t>
            </w:r>
          </w:p>
        </w:tc>
      </w:tr>
      <w:tr w:rsidR="005E46E0" w:rsidRPr="00BE5E19" w14:paraId="5F3892A3"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00F327C6" w14:textId="272A4EF0"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ΥΠΟΧΡΕΩΣΕΙΣ</w:t>
            </w:r>
          </w:p>
        </w:tc>
        <w:tc>
          <w:tcPr>
            <w:tcW w:w="1985" w:type="dxa"/>
            <w:tcBorders>
              <w:top w:val="nil"/>
              <w:left w:val="nil"/>
              <w:bottom w:val="nil"/>
              <w:right w:val="nil"/>
            </w:tcBorders>
            <w:shd w:val="clear" w:color="auto" w:fill="E2EFD9"/>
            <w:noWrap/>
            <w:vAlign w:val="bottom"/>
          </w:tcPr>
          <w:p w14:paraId="0B49811E" w14:textId="7C1391BB"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1DEB197E"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5F3DC196" w14:textId="39F3759E"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 </w:t>
            </w:r>
          </w:p>
        </w:tc>
      </w:tr>
      <w:tr w:rsidR="005E46E0" w:rsidRPr="00BE5E19" w14:paraId="46E1CCBE"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85E5208" w14:textId="68102F8D" w:rsidR="005E46E0" w:rsidRPr="00BE5E19" w:rsidRDefault="005E46E0" w:rsidP="005E0EB8">
            <w:pPr>
              <w:spacing w:after="0" w:line="240" w:lineRule="auto"/>
              <w:jc w:val="both"/>
              <w:rPr>
                <w:rFonts w:ascii="Aptos" w:eastAsia="Times New Roman" w:hAnsi="Aptos"/>
                <w:b/>
                <w:bCs/>
                <w:sz w:val="20"/>
                <w:szCs w:val="20"/>
                <w:lang w:val="en-GB" w:eastAsia="el-GR"/>
              </w:rPr>
            </w:pPr>
            <w:r w:rsidRPr="006C0543">
              <w:rPr>
                <w:b/>
                <w:color w:val="000000"/>
                <w:sz w:val="20"/>
              </w:rPr>
              <w:t>Μακροπρόθεσμες υποχρεώσεις</w:t>
            </w:r>
          </w:p>
        </w:tc>
        <w:tc>
          <w:tcPr>
            <w:tcW w:w="1985" w:type="dxa"/>
            <w:tcBorders>
              <w:top w:val="nil"/>
              <w:left w:val="nil"/>
              <w:bottom w:val="nil"/>
              <w:right w:val="nil"/>
            </w:tcBorders>
            <w:shd w:val="clear" w:color="auto" w:fill="E2EFD9"/>
            <w:noWrap/>
            <w:vAlign w:val="bottom"/>
          </w:tcPr>
          <w:p w14:paraId="757DB613" w14:textId="1C5E166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72BEE771"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20C1D3A9" w14:textId="4BF3F162"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 </w:t>
            </w:r>
          </w:p>
        </w:tc>
      </w:tr>
      <w:tr w:rsidR="005E46E0" w:rsidRPr="00BE5E19" w14:paraId="091F5DE9"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5F786066" w14:textId="3B841CCD"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Δανεισμός</w:t>
            </w:r>
          </w:p>
        </w:tc>
        <w:tc>
          <w:tcPr>
            <w:tcW w:w="1985" w:type="dxa"/>
            <w:tcBorders>
              <w:top w:val="nil"/>
              <w:left w:val="nil"/>
              <w:bottom w:val="nil"/>
              <w:right w:val="nil"/>
            </w:tcBorders>
            <w:shd w:val="clear" w:color="auto" w:fill="E2EFD9"/>
            <w:noWrap/>
            <w:vAlign w:val="bottom"/>
          </w:tcPr>
          <w:p w14:paraId="28171EEB" w14:textId="255B4420"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205</w:t>
            </w:r>
            <w:r w:rsidR="00B9461C">
              <w:rPr>
                <w:rFonts w:ascii="Aptos" w:hAnsi="Aptos" w:cs="Calibri"/>
                <w:color w:val="000000"/>
                <w:sz w:val="20"/>
                <w:szCs w:val="20"/>
              </w:rPr>
              <w:t>.</w:t>
            </w:r>
            <w:r w:rsidRPr="00BE5E19">
              <w:rPr>
                <w:rFonts w:ascii="Aptos" w:hAnsi="Aptos" w:cs="Calibri"/>
                <w:color w:val="000000"/>
                <w:sz w:val="20"/>
                <w:szCs w:val="20"/>
              </w:rPr>
              <w:t>991</w:t>
            </w:r>
          </w:p>
        </w:tc>
        <w:tc>
          <w:tcPr>
            <w:tcW w:w="283" w:type="dxa"/>
            <w:tcBorders>
              <w:top w:val="nil"/>
              <w:left w:val="nil"/>
              <w:bottom w:val="nil"/>
              <w:right w:val="nil"/>
            </w:tcBorders>
            <w:noWrap/>
            <w:vAlign w:val="bottom"/>
          </w:tcPr>
          <w:p w14:paraId="1A09EC7F"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09C296C9" w14:textId="0C000B13"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196</w:t>
            </w:r>
            <w:r w:rsidR="00B9461C">
              <w:rPr>
                <w:rFonts w:ascii="Aptos" w:hAnsi="Aptos" w:cs="Calibri"/>
                <w:color w:val="000000"/>
                <w:sz w:val="20"/>
                <w:szCs w:val="20"/>
              </w:rPr>
              <w:t>.</w:t>
            </w:r>
            <w:r w:rsidRPr="00BE5E19">
              <w:rPr>
                <w:rFonts w:ascii="Aptos" w:hAnsi="Aptos" w:cs="Calibri"/>
                <w:color w:val="000000"/>
                <w:sz w:val="20"/>
                <w:szCs w:val="20"/>
              </w:rPr>
              <w:t>372</w:t>
            </w:r>
          </w:p>
        </w:tc>
      </w:tr>
      <w:tr w:rsidR="005E46E0" w:rsidRPr="00BE5E19" w14:paraId="634986D4" w14:textId="77777777" w:rsidTr="005E46E0">
        <w:trPr>
          <w:trHeight w:hRule="exact" w:val="255"/>
        </w:trPr>
        <w:tc>
          <w:tcPr>
            <w:tcW w:w="5670" w:type="dxa"/>
            <w:tcBorders>
              <w:top w:val="nil"/>
              <w:left w:val="nil"/>
              <w:bottom w:val="nil"/>
              <w:right w:val="nil"/>
            </w:tcBorders>
            <w:shd w:val="clear" w:color="000000" w:fill="FFFFFF"/>
            <w:noWrap/>
            <w:vAlign w:val="center"/>
          </w:tcPr>
          <w:p w14:paraId="136272AA" w14:textId="19BF6C12"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Υποχρεώσεις από μισθώσεις</w:t>
            </w:r>
          </w:p>
        </w:tc>
        <w:tc>
          <w:tcPr>
            <w:tcW w:w="1985" w:type="dxa"/>
            <w:tcBorders>
              <w:top w:val="nil"/>
              <w:left w:val="nil"/>
              <w:right w:val="nil"/>
            </w:tcBorders>
            <w:shd w:val="clear" w:color="auto" w:fill="E2EFD9"/>
            <w:noWrap/>
            <w:vAlign w:val="bottom"/>
          </w:tcPr>
          <w:p w14:paraId="42D58E04" w14:textId="7B8119D9"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9</w:t>
            </w:r>
            <w:r w:rsidR="00B9461C">
              <w:rPr>
                <w:rFonts w:ascii="Aptos" w:hAnsi="Aptos" w:cs="Calibri"/>
                <w:color w:val="000000"/>
                <w:sz w:val="20"/>
                <w:szCs w:val="20"/>
              </w:rPr>
              <w:t>.</w:t>
            </w:r>
            <w:r w:rsidRPr="00BE5E19">
              <w:rPr>
                <w:rFonts w:ascii="Aptos" w:hAnsi="Aptos" w:cs="Calibri"/>
                <w:color w:val="000000"/>
                <w:sz w:val="20"/>
                <w:szCs w:val="20"/>
              </w:rPr>
              <w:t>003</w:t>
            </w:r>
          </w:p>
        </w:tc>
        <w:tc>
          <w:tcPr>
            <w:tcW w:w="283" w:type="dxa"/>
            <w:tcBorders>
              <w:top w:val="nil"/>
              <w:left w:val="nil"/>
              <w:right w:val="nil"/>
            </w:tcBorders>
            <w:noWrap/>
            <w:vAlign w:val="bottom"/>
          </w:tcPr>
          <w:p w14:paraId="15B61A61"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right w:val="nil"/>
            </w:tcBorders>
            <w:noWrap/>
            <w:vAlign w:val="bottom"/>
          </w:tcPr>
          <w:p w14:paraId="061EB66F" w14:textId="67212060"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8</w:t>
            </w:r>
            <w:r w:rsidR="00B9461C">
              <w:rPr>
                <w:rFonts w:ascii="Aptos" w:hAnsi="Aptos" w:cs="Calibri"/>
                <w:color w:val="000000"/>
                <w:sz w:val="20"/>
                <w:szCs w:val="20"/>
              </w:rPr>
              <w:t>.</w:t>
            </w:r>
            <w:r w:rsidRPr="00BE5E19">
              <w:rPr>
                <w:rFonts w:ascii="Aptos" w:hAnsi="Aptos" w:cs="Calibri"/>
                <w:color w:val="000000"/>
                <w:sz w:val="20"/>
                <w:szCs w:val="20"/>
              </w:rPr>
              <w:t>935</w:t>
            </w:r>
          </w:p>
        </w:tc>
      </w:tr>
      <w:tr w:rsidR="005E46E0" w:rsidRPr="00BE5E19" w14:paraId="5133181A"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16C6704C" w14:textId="5B5D70BF"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Υποχρεώσεις παροχών προσωπικού</w:t>
            </w:r>
          </w:p>
        </w:tc>
        <w:tc>
          <w:tcPr>
            <w:tcW w:w="1985" w:type="dxa"/>
            <w:tcBorders>
              <w:top w:val="nil"/>
              <w:left w:val="nil"/>
              <w:right w:val="nil"/>
            </w:tcBorders>
            <w:shd w:val="clear" w:color="auto" w:fill="E2EFD9"/>
            <w:noWrap/>
            <w:vAlign w:val="bottom"/>
          </w:tcPr>
          <w:p w14:paraId="55CEE20F" w14:textId="27F3E1F3"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w:t>
            </w:r>
            <w:r w:rsidR="00B9461C">
              <w:rPr>
                <w:rFonts w:ascii="Aptos" w:hAnsi="Aptos" w:cs="Calibri"/>
                <w:color w:val="000000"/>
                <w:sz w:val="20"/>
                <w:szCs w:val="20"/>
              </w:rPr>
              <w:t>.</w:t>
            </w:r>
            <w:r w:rsidRPr="00BE5E19">
              <w:rPr>
                <w:rFonts w:ascii="Aptos" w:hAnsi="Aptos" w:cs="Calibri"/>
                <w:color w:val="000000"/>
                <w:sz w:val="20"/>
                <w:szCs w:val="20"/>
              </w:rPr>
              <w:t>153</w:t>
            </w:r>
          </w:p>
        </w:tc>
        <w:tc>
          <w:tcPr>
            <w:tcW w:w="283" w:type="dxa"/>
            <w:tcBorders>
              <w:top w:val="nil"/>
              <w:left w:val="nil"/>
              <w:right w:val="nil"/>
            </w:tcBorders>
            <w:noWrap/>
            <w:vAlign w:val="bottom"/>
          </w:tcPr>
          <w:p w14:paraId="7CC33A1A"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right w:val="nil"/>
            </w:tcBorders>
            <w:noWrap/>
            <w:vAlign w:val="bottom"/>
            <w:hideMark/>
          </w:tcPr>
          <w:p w14:paraId="689903C9" w14:textId="4EA8125B"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w:t>
            </w:r>
            <w:r w:rsidR="00B9461C">
              <w:rPr>
                <w:rFonts w:ascii="Aptos" w:hAnsi="Aptos" w:cs="Calibri"/>
                <w:color w:val="000000"/>
                <w:sz w:val="20"/>
                <w:szCs w:val="20"/>
              </w:rPr>
              <w:t>.</w:t>
            </w:r>
            <w:r w:rsidRPr="00BE5E19">
              <w:rPr>
                <w:rFonts w:ascii="Aptos" w:hAnsi="Aptos" w:cs="Calibri"/>
                <w:color w:val="000000"/>
                <w:sz w:val="20"/>
                <w:szCs w:val="20"/>
              </w:rPr>
              <w:t>749</w:t>
            </w:r>
          </w:p>
        </w:tc>
      </w:tr>
      <w:tr w:rsidR="005E46E0" w:rsidRPr="00BE5E19" w14:paraId="48BFF363"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30306E5F" w14:textId="6BEF67CC"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Επιχορηγήσεις</w:t>
            </w:r>
          </w:p>
        </w:tc>
        <w:tc>
          <w:tcPr>
            <w:tcW w:w="1985" w:type="dxa"/>
            <w:tcBorders>
              <w:top w:val="nil"/>
              <w:left w:val="nil"/>
              <w:bottom w:val="nil"/>
              <w:right w:val="nil"/>
            </w:tcBorders>
            <w:shd w:val="clear" w:color="auto" w:fill="E2EFD9"/>
            <w:noWrap/>
            <w:vAlign w:val="bottom"/>
          </w:tcPr>
          <w:p w14:paraId="4D06EC95" w14:textId="1676CFC6"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13</w:t>
            </w:r>
            <w:r w:rsidR="00B9461C">
              <w:rPr>
                <w:rFonts w:ascii="Aptos" w:hAnsi="Aptos" w:cs="Calibri"/>
                <w:color w:val="000000"/>
                <w:sz w:val="20"/>
                <w:szCs w:val="20"/>
              </w:rPr>
              <w:t>.</w:t>
            </w:r>
            <w:r w:rsidRPr="00BE5E19">
              <w:rPr>
                <w:rFonts w:ascii="Aptos" w:hAnsi="Aptos" w:cs="Calibri"/>
                <w:color w:val="000000"/>
                <w:sz w:val="20"/>
                <w:szCs w:val="20"/>
              </w:rPr>
              <w:t>066</w:t>
            </w:r>
          </w:p>
        </w:tc>
        <w:tc>
          <w:tcPr>
            <w:tcW w:w="283" w:type="dxa"/>
            <w:tcBorders>
              <w:top w:val="nil"/>
              <w:left w:val="nil"/>
              <w:bottom w:val="nil"/>
              <w:right w:val="nil"/>
            </w:tcBorders>
            <w:noWrap/>
            <w:vAlign w:val="bottom"/>
          </w:tcPr>
          <w:p w14:paraId="1DAEE134"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59024FE5" w14:textId="28C3E83A"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13</w:t>
            </w:r>
            <w:r w:rsidR="00B9461C">
              <w:rPr>
                <w:rFonts w:ascii="Aptos" w:hAnsi="Aptos" w:cs="Calibri"/>
                <w:color w:val="000000"/>
                <w:sz w:val="20"/>
                <w:szCs w:val="20"/>
              </w:rPr>
              <w:t>.</w:t>
            </w:r>
            <w:r w:rsidRPr="00BE5E19">
              <w:rPr>
                <w:rFonts w:ascii="Aptos" w:hAnsi="Aptos" w:cs="Calibri"/>
                <w:color w:val="000000"/>
                <w:sz w:val="20"/>
                <w:szCs w:val="20"/>
              </w:rPr>
              <w:t>809</w:t>
            </w:r>
          </w:p>
        </w:tc>
      </w:tr>
      <w:tr w:rsidR="005E46E0" w:rsidRPr="00BE5E19" w14:paraId="1D1900BE" w14:textId="77777777" w:rsidTr="005E46E0">
        <w:trPr>
          <w:trHeight w:hRule="exact" w:val="255"/>
        </w:trPr>
        <w:tc>
          <w:tcPr>
            <w:tcW w:w="5670" w:type="dxa"/>
            <w:tcBorders>
              <w:top w:val="nil"/>
              <w:left w:val="nil"/>
              <w:bottom w:val="nil"/>
              <w:right w:val="nil"/>
            </w:tcBorders>
            <w:shd w:val="clear" w:color="000000" w:fill="FFFFFF"/>
            <w:noWrap/>
            <w:vAlign w:val="bottom"/>
          </w:tcPr>
          <w:p w14:paraId="493AFA51" w14:textId="4579BBD1" w:rsidR="005E46E0" w:rsidRPr="00BE5E19" w:rsidRDefault="005E46E0" w:rsidP="005E0EB8">
            <w:pPr>
              <w:spacing w:after="0" w:line="240" w:lineRule="auto"/>
              <w:jc w:val="both"/>
              <w:rPr>
                <w:rFonts w:ascii="Aptos" w:eastAsia="Times New Roman" w:hAnsi="Aptos"/>
                <w:sz w:val="20"/>
                <w:szCs w:val="20"/>
                <w:lang w:val="en-GB" w:eastAsia="el-GR"/>
              </w:rPr>
            </w:pPr>
            <w:r w:rsidRPr="00EA17AD">
              <w:rPr>
                <w:rFonts w:eastAsia="Times New Roman"/>
                <w:sz w:val="20"/>
                <w:szCs w:val="20"/>
                <w:lang w:eastAsia="el-GR"/>
              </w:rPr>
              <w:t>Προμηθευτές και λοιπές υποχρεώσεις</w:t>
            </w:r>
          </w:p>
        </w:tc>
        <w:tc>
          <w:tcPr>
            <w:tcW w:w="1985" w:type="dxa"/>
            <w:tcBorders>
              <w:top w:val="nil"/>
              <w:left w:val="nil"/>
              <w:bottom w:val="nil"/>
              <w:right w:val="nil"/>
            </w:tcBorders>
            <w:shd w:val="clear" w:color="auto" w:fill="E2EFD9"/>
            <w:noWrap/>
            <w:vAlign w:val="bottom"/>
          </w:tcPr>
          <w:p w14:paraId="76A1C0E0" w14:textId="5CBC46DC"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54</w:t>
            </w:r>
          </w:p>
        </w:tc>
        <w:tc>
          <w:tcPr>
            <w:tcW w:w="283" w:type="dxa"/>
            <w:tcBorders>
              <w:top w:val="nil"/>
              <w:left w:val="nil"/>
              <w:bottom w:val="nil"/>
              <w:right w:val="nil"/>
            </w:tcBorders>
            <w:noWrap/>
            <w:vAlign w:val="bottom"/>
          </w:tcPr>
          <w:p w14:paraId="36714E35" w14:textId="77777777" w:rsidR="005E46E0" w:rsidRPr="00BE5E19" w:rsidRDefault="005E46E0" w:rsidP="005E0EB8">
            <w:pPr>
              <w:spacing w:after="0" w:line="240" w:lineRule="auto"/>
              <w:jc w:val="right"/>
              <w:rPr>
                <w:rFonts w:ascii="Aptos" w:hAnsi="Aptos" w:cs="Calibri"/>
                <w:color w:val="000000"/>
                <w:sz w:val="20"/>
                <w:szCs w:val="20"/>
                <w:lang w:val="en-GB"/>
              </w:rPr>
            </w:pPr>
          </w:p>
        </w:tc>
        <w:tc>
          <w:tcPr>
            <w:tcW w:w="2178" w:type="dxa"/>
            <w:tcBorders>
              <w:top w:val="nil"/>
              <w:left w:val="nil"/>
              <w:bottom w:val="nil"/>
              <w:right w:val="nil"/>
            </w:tcBorders>
            <w:noWrap/>
            <w:vAlign w:val="bottom"/>
          </w:tcPr>
          <w:p w14:paraId="33D21268" w14:textId="729787FB"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56</w:t>
            </w:r>
          </w:p>
        </w:tc>
      </w:tr>
      <w:tr w:rsidR="005E46E0" w:rsidRPr="00BE5E19" w14:paraId="724774C2"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6B38230B" w14:textId="78FE4596" w:rsidR="005E46E0" w:rsidRPr="00BE5E19" w:rsidRDefault="005E46E0" w:rsidP="005E0EB8">
            <w:pPr>
              <w:spacing w:after="0" w:line="240" w:lineRule="auto"/>
              <w:jc w:val="both"/>
              <w:rPr>
                <w:rFonts w:ascii="Aptos" w:eastAsia="Times New Roman" w:hAnsi="Aptos"/>
                <w:sz w:val="20"/>
                <w:szCs w:val="20"/>
                <w:lang w:val="en-GB" w:eastAsia="el-GR"/>
              </w:rPr>
            </w:pPr>
            <w:r w:rsidRPr="006C0543">
              <w:rPr>
                <w:color w:val="000000"/>
                <w:sz w:val="20"/>
              </w:rPr>
              <w:t>Αναβαλλόμενες φορολογικές υποχρεώσεις</w:t>
            </w:r>
          </w:p>
        </w:tc>
        <w:tc>
          <w:tcPr>
            <w:tcW w:w="1985" w:type="dxa"/>
            <w:tcBorders>
              <w:top w:val="nil"/>
              <w:left w:val="nil"/>
              <w:right w:val="nil"/>
            </w:tcBorders>
            <w:shd w:val="clear" w:color="auto" w:fill="E2EFD9"/>
            <w:noWrap/>
            <w:vAlign w:val="bottom"/>
          </w:tcPr>
          <w:p w14:paraId="63A55F25" w14:textId="0DA55DB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71</w:t>
            </w:r>
            <w:r w:rsidR="00B9461C">
              <w:rPr>
                <w:rFonts w:ascii="Aptos" w:hAnsi="Aptos" w:cs="Calibri"/>
                <w:color w:val="000000"/>
                <w:sz w:val="20"/>
                <w:szCs w:val="20"/>
              </w:rPr>
              <w:t>.</w:t>
            </w:r>
            <w:r w:rsidRPr="00BE5E19">
              <w:rPr>
                <w:rFonts w:ascii="Aptos" w:hAnsi="Aptos" w:cs="Calibri"/>
                <w:color w:val="000000"/>
                <w:sz w:val="20"/>
                <w:szCs w:val="20"/>
              </w:rPr>
              <w:t>073</w:t>
            </w:r>
          </w:p>
        </w:tc>
        <w:tc>
          <w:tcPr>
            <w:tcW w:w="283" w:type="dxa"/>
            <w:tcBorders>
              <w:top w:val="nil"/>
              <w:left w:val="nil"/>
              <w:right w:val="nil"/>
            </w:tcBorders>
            <w:noWrap/>
            <w:vAlign w:val="bottom"/>
          </w:tcPr>
          <w:p w14:paraId="5A3FFBE9"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right w:val="nil"/>
            </w:tcBorders>
            <w:noWrap/>
            <w:vAlign w:val="bottom"/>
            <w:hideMark/>
          </w:tcPr>
          <w:p w14:paraId="63B001F1" w14:textId="5DE0659D"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76</w:t>
            </w:r>
            <w:r w:rsidR="00B9461C">
              <w:rPr>
                <w:rFonts w:ascii="Aptos" w:hAnsi="Aptos" w:cs="Calibri"/>
                <w:color w:val="000000"/>
                <w:sz w:val="20"/>
                <w:szCs w:val="20"/>
              </w:rPr>
              <w:t>.</w:t>
            </w:r>
            <w:r w:rsidRPr="00BE5E19">
              <w:rPr>
                <w:rFonts w:ascii="Aptos" w:hAnsi="Aptos" w:cs="Calibri"/>
                <w:color w:val="000000"/>
                <w:sz w:val="20"/>
                <w:szCs w:val="20"/>
              </w:rPr>
              <w:t>031</w:t>
            </w:r>
          </w:p>
        </w:tc>
      </w:tr>
      <w:tr w:rsidR="005E46E0" w:rsidRPr="00BE5E19" w14:paraId="630C224E"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195777A" w14:textId="77777777" w:rsidR="005E46E0" w:rsidRPr="00BE5E19" w:rsidRDefault="005E46E0" w:rsidP="005E0EB8">
            <w:pPr>
              <w:spacing w:after="0" w:line="240" w:lineRule="auto"/>
              <w:jc w:val="both"/>
              <w:rPr>
                <w:rFonts w:ascii="Aptos" w:eastAsia="Times New Roman" w:hAnsi="Aptos"/>
                <w:b/>
                <w:bCs/>
                <w:sz w:val="20"/>
                <w:szCs w:val="20"/>
                <w:lang w:val="en-GB" w:eastAsia="el-GR"/>
              </w:rPr>
            </w:pPr>
          </w:p>
        </w:tc>
        <w:tc>
          <w:tcPr>
            <w:tcW w:w="1985" w:type="dxa"/>
            <w:tcBorders>
              <w:top w:val="single" w:sz="4" w:space="0" w:color="auto"/>
              <w:left w:val="nil"/>
              <w:bottom w:val="single" w:sz="4" w:space="0" w:color="auto"/>
              <w:right w:val="nil"/>
            </w:tcBorders>
            <w:shd w:val="clear" w:color="auto" w:fill="E2EFD9"/>
            <w:noWrap/>
            <w:vAlign w:val="bottom"/>
          </w:tcPr>
          <w:p w14:paraId="2E154A47" w14:textId="4638945E"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304</w:t>
            </w:r>
            <w:r w:rsidR="00B9461C">
              <w:rPr>
                <w:rFonts w:ascii="Aptos" w:hAnsi="Aptos" w:cs="Calibri"/>
                <w:b/>
                <w:bCs/>
                <w:color w:val="000000"/>
                <w:sz w:val="20"/>
                <w:szCs w:val="20"/>
              </w:rPr>
              <w:t>.</w:t>
            </w:r>
            <w:r w:rsidRPr="0025770E">
              <w:rPr>
                <w:rFonts w:ascii="Aptos" w:hAnsi="Aptos" w:cs="Calibri"/>
                <w:b/>
                <w:bCs/>
                <w:color w:val="000000"/>
                <w:sz w:val="20"/>
                <w:szCs w:val="20"/>
              </w:rPr>
              <w:t>340</w:t>
            </w:r>
          </w:p>
        </w:tc>
        <w:tc>
          <w:tcPr>
            <w:tcW w:w="283" w:type="dxa"/>
            <w:tcBorders>
              <w:left w:val="nil"/>
              <w:right w:val="nil"/>
            </w:tcBorders>
            <w:noWrap/>
            <w:vAlign w:val="bottom"/>
          </w:tcPr>
          <w:p w14:paraId="01CF6029"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0BA8BA9F" w14:textId="184E9116"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299</w:t>
            </w:r>
            <w:r w:rsidR="00B9461C">
              <w:rPr>
                <w:rFonts w:ascii="Aptos" w:hAnsi="Aptos" w:cs="Calibri"/>
                <w:b/>
                <w:bCs/>
                <w:color w:val="000000"/>
                <w:sz w:val="20"/>
                <w:szCs w:val="20"/>
              </w:rPr>
              <w:t>.</w:t>
            </w:r>
            <w:r w:rsidRPr="0025770E">
              <w:rPr>
                <w:rFonts w:ascii="Aptos" w:hAnsi="Aptos" w:cs="Calibri"/>
                <w:b/>
                <w:bCs/>
                <w:color w:val="000000"/>
                <w:sz w:val="20"/>
                <w:szCs w:val="20"/>
              </w:rPr>
              <w:t>951</w:t>
            </w:r>
          </w:p>
        </w:tc>
      </w:tr>
      <w:tr w:rsidR="005E46E0" w:rsidRPr="00BE5E19" w14:paraId="6FB54B70"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638CF22D" w14:textId="257A0376" w:rsidR="005E46E0" w:rsidRPr="00BE5E19" w:rsidRDefault="005E46E0" w:rsidP="005E0EB8">
            <w:pPr>
              <w:spacing w:after="0" w:line="240" w:lineRule="auto"/>
              <w:jc w:val="both"/>
              <w:rPr>
                <w:rFonts w:ascii="Aptos" w:eastAsia="Times New Roman" w:hAnsi="Aptos"/>
                <w:b/>
                <w:bCs/>
                <w:sz w:val="20"/>
                <w:szCs w:val="20"/>
                <w:lang w:val="en-GB" w:eastAsia="el-GR"/>
              </w:rPr>
            </w:pPr>
            <w:r w:rsidRPr="00EA17AD">
              <w:rPr>
                <w:rFonts w:eastAsia="Times New Roman"/>
                <w:b/>
                <w:bCs/>
                <w:sz w:val="20"/>
                <w:szCs w:val="20"/>
                <w:lang w:eastAsia="el-GR"/>
              </w:rPr>
              <w:t>Βραχυπρόθεσμες υποχρεώσεις</w:t>
            </w:r>
          </w:p>
        </w:tc>
        <w:tc>
          <w:tcPr>
            <w:tcW w:w="1985" w:type="dxa"/>
            <w:tcBorders>
              <w:top w:val="single" w:sz="4" w:space="0" w:color="auto"/>
              <w:left w:val="nil"/>
              <w:bottom w:val="nil"/>
              <w:right w:val="nil"/>
            </w:tcBorders>
            <w:shd w:val="clear" w:color="auto" w:fill="E2EFD9"/>
            <w:noWrap/>
            <w:vAlign w:val="bottom"/>
          </w:tcPr>
          <w:p w14:paraId="31338FD3" w14:textId="67D0C84C"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2221659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single" w:sz="4" w:space="0" w:color="auto"/>
              <w:left w:val="nil"/>
              <w:bottom w:val="nil"/>
              <w:right w:val="nil"/>
            </w:tcBorders>
            <w:noWrap/>
            <w:vAlign w:val="bottom"/>
            <w:hideMark/>
          </w:tcPr>
          <w:p w14:paraId="76427CA9" w14:textId="7132320F"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 </w:t>
            </w:r>
          </w:p>
        </w:tc>
      </w:tr>
      <w:tr w:rsidR="005E46E0" w:rsidRPr="00BE5E19" w14:paraId="4A9182C2"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91C0532" w14:textId="39C387D3" w:rsidR="005E46E0" w:rsidRPr="00BE5E19" w:rsidRDefault="005E46E0" w:rsidP="005E0EB8">
            <w:pPr>
              <w:spacing w:after="0" w:line="240" w:lineRule="auto"/>
              <w:jc w:val="both"/>
              <w:rPr>
                <w:rFonts w:ascii="Aptos" w:eastAsia="Times New Roman" w:hAnsi="Aptos"/>
                <w:sz w:val="20"/>
                <w:szCs w:val="20"/>
                <w:lang w:val="en-GB" w:eastAsia="el-GR"/>
              </w:rPr>
            </w:pPr>
            <w:r w:rsidRPr="00EA17AD">
              <w:rPr>
                <w:rFonts w:eastAsia="Times New Roman"/>
                <w:sz w:val="20"/>
                <w:szCs w:val="20"/>
                <w:lang w:eastAsia="el-GR"/>
              </w:rPr>
              <w:t>Δανεισμός</w:t>
            </w:r>
          </w:p>
        </w:tc>
        <w:tc>
          <w:tcPr>
            <w:tcW w:w="1985" w:type="dxa"/>
            <w:tcBorders>
              <w:top w:val="nil"/>
              <w:left w:val="nil"/>
              <w:bottom w:val="nil"/>
              <w:right w:val="nil"/>
            </w:tcBorders>
            <w:shd w:val="clear" w:color="auto" w:fill="E2EFD9"/>
            <w:noWrap/>
            <w:vAlign w:val="bottom"/>
          </w:tcPr>
          <w:p w14:paraId="63000C3B" w14:textId="492E0B2C"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495</w:t>
            </w:r>
            <w:r w:rsidR="00B9461C">
              <w:rPr>
                <w:rFonts w:ascii="Aptos" w:hAnsi="Aptos" w:cs="Calibri"/>
                <w:color w:val="000000"/>
                <w:sz w:val="20"/>
                <w:szCs w:val="20"/>
              </w:rPr>
              <w:t>.</w:t>
            </w:r>
            <w:r w:rsidRPr="00BE5E19">
              <w:rPr>
                <w:rFonts w:ascii="Aptos" w:hAnsi="Aptos" w:cs="Calibri"/>
                <w:color w:val="000000"/>
                <w:sz w:val="20"/>
                <w:szCs w:val="20"/>
              </w:rPr>
              <w:t>970</w:t>
            </w:r>
          </w:p>
        </w:tc>
        <w:tc>
          <w:tcPr>
            <w:tcW w:w="283" w:type="dxa"/>
            <w:tcBorders>
              <w:top w:val="nil"/>
              <w:left w:val="nil"/>
              <w:bottom w:val="nil"/>
              <w:right w:val="nil"/>
            </w:tcBorders>
            <w:noWrap/>
            <w:vAlign w:val="bottom"/>
          </w:tcPr>
          <w:p w14:paraId="13E20EB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625AA5A4" w14:textId="14A5135B"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437</w:t>
            </w:r>
            <w:r w:rsidR="00B9461C">
              <w:rPr>
                <w:rFonts w:ascii="Aptos" w:hAnsi="Aptos" w:cs="Calibri"/>
                <w:color w:val="000000"/>
                <w:sz w:val="20"/>
                <w:szCs w:val="20"/>
              </w:rPr>
              <w:t>.</w:t>
            </w:r>
            <w:r w:rsidRPr="00BE5E19">
              <w:rPr>
                <w:rFonts w:ascii="Aptos" w:hAnsi="Aptos" w:cs="Calibri"/>
                <w:color w:val="000000"/>
                <w:sz w:val="20"/>
                <w:szCs w:val="20"/>
              </w:rPr>
              <w:t>264</w:t>
            </w:r>
          </w:p>
        </w:tc>
      </w:tr>
      <w:tr w:rsidR="005E46E0" w:rsidRPr="00BE5E19" w14:paraId="28BDB3B0" w14:textId="77777777" w:rsidTr="005E46E0">
        <w:trPr>
          <w:trHeight w:hRule="exact" w:val="255"/>
        </w:trPr>
        <w:tc>
          <w:tcPr>
            <w:tcW w:w="5670" w:type="dxa"/>
            <w:tcBorders>
              <w:top w:val="nil"/>
              <w:left w:val="nil"/>
              <w:bottom w:val="nil"/>
              <w:right w:val="nil"/>
            </w:tcBorders>
            <w:shd w:val="clear" w:color="000000" w:fill="FFFFFF"/>
            <w:noWrap/>
            <w:vAlign w:val="bottom"/>
          </w:tcPr>
          <w:p w14:paraId="4B5221D2" w14:textId="02DCC3B9" w:rsidR="005E46E0" w:rsidRPr="00BE5E19" w:rsidRDefault="005E46E0" w:rsidP="005E0EB8">
            <w:pPr>
              <w:spacing w:after="0" w:line="240" w:lineRule="auto"/>
              <w:jc w:val="both"/>
              <w:rPr>
                <w:rFonts w:ascii="Aptos" w:eastAsia="Times New Roman" w:hAnsi="Aptos"/>
                <w:sz w:val="20"/>
                <w:szCs w:val="20"/>
                <w:lang w:val="en-GB" w:eastAsia="el-GR"/>
              </w:rPr>
            </w:pPr>
            <w:r w:rsidRPr="00EA17AD">
              <w:rPr>
                <w:rFonts w:eastAsia="Times New Roman"/>
                <w:sz w:val="20"/>
                <w:szCs w:val="20"/>
                <w:lang w:eastAsia="el-GR"/>
              </w:rPr>
              <w:t>Υποχρεώσεις από μισθώσεις</w:t>
            </w:r>
          </w:p>
        </w:tc>
        <w:tc>
          <w:tcPr>
            <w:tcW w:w="1985" w:type="dxa"/>
            <w:tcBorders>
              <w:top w:val="nil"/>
              <w:left w:val="nil"/>
              <w:bottom w:val="nil"/>
              <w:right w:val="nil"/>
            </w:tcBorders>
            <w:shd w:val="clear" w:color="auto" w:fill="E2EFD9"/>
            <w:noWrap/>
            <w:vAlign w:val="bottom"/>
          </w:tcPr>
          <w:p w14:paraId="28E84ADC" w14:textId="7F6A1C3D"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4</w:t>
            </w:r>
            <w:r w:rsidR="00B9461C">
              <w:rPr>
                <w:rFonts w:ascii="Aptos" w:hAnsi="Aptos" w:cs="Calibri"/>
                <w:color w:val="000000"/>
                <w:sz w:val="20"/>
                <w:szCs w:val="20"/>
              </w:rPr>
              <w:t>.</w:t>
            </w:r>
            <w:r w:rsidRPr="00BE5E19">
              <w:rPr>
                <w:rFonts w:ascii="Aptos" w:hAnsi="Aptos" w:cs="Calibri"/>
                <w:color w:val="000000"/>
                <w:sz w:val="20"/>
                <w:szCs w:val="20"/>
              </w:rPr>
              <w:t>235</w:t>
            </w:r>
          </w:p>
        </w:tc>
        <w:tc>
          <w:tcPr>
            <w:tcW w:w="283" w:type="dxa"/>
            <w:tcBorders>
              <w:top w:val="nil"/>
              <w:left w:val="nil"/>
              <w:bottom w:val="nil"/>
              <w:right w:val="nil"/>
            </w:tcBorders>
            <w:noWrap/>
            <w:vAlign w:val="bottom"/>
          </w:tcPr>
          <w:p w14:paraId="728C9E0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tcPr>
          <w:p w14:paraId="17977705" w14:textId="2035EA21"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w:t>
            </w:r>
            <w:r w:rsidR="00B9461C">
              <w:rPr>
                <w:rFonts w:ascii="Aptos" w:hAnsi="Aptos" w:cs="Calibri"/>
                <w:color w:val="000000"/>
                <w:sz w:val="20"/>
                <w:szCs w:val="20"/>
              </w:rPr>
              <w:t>.</w:t>
            </w:r>
            <w:r w:rsidRPr="00BE5E19">
              <w:rPr>
                <w:rFonts w:ascii="Aptos" w:hAnsi="Aptos" w:cs="Calibri"/>
                <w:color w:val="000000"/>
                <w:sz w:val="20"/>
                <w:szCs w:val="20"/>
              </w:rPr>
              <w:t>790</w:t>
            </w:r>
          </w:p>
        </w:tc>
      </w:tr>
      <w:tr w:rsidR="005E46E0" w:rsidRPr="00BE5E19" w14:paraId="3FB235C7" w14:textId="77777777" w:rsidTr="005E46E0">
        <w:trPr>
          <w:trHeight w:hRule="exact" w:val="255"/>
        </w:trPr>
        <w:tc>
          <w:tcPr>
            <w:tcW w:w="5670" w:type="dxa"/>
            <w:tcBorders>
              <w:top w:val="nil"/>
              <w:left w:val="nil"/>
              <w:bottom w:val="nil"/>
              <w:right w:val="nil"/>
            </w:tcBorders>
            <w:shd w:val="clear" w:color="000000" w:fill="FFFFFF"/>
            <w:noWrap/>
            <w:vAlign w:val="center"/>
          </w:tcPr>
          <w:p w14:paraId="10A33B9C" w14:textId="337A879C" w:rsidR="005E46E0" w:rsidRPr="00BE5E19" w:rsidRDefault="005E46E0" w:rsidP="005E0EB8">
            <w:pPr>
              <w:spacing w:after="0" w:line="240" w:lineRule="auto"/>
              <w:jc w:val="both"/>
              <w:rPr>
                <w:rFonts w:ascii="Aptos" w:eastAsia="Times New Roman" w:hAnsi="Aptos"/>
                <w:sz w:val="20"/>
                <w:szCs w:val="20"/>
                <w:lang w:val="en-GB" w:eastAsia="el-GR"/>
              </w:rPr>
            </w:pPr>
            <w:r w:rsidRPr="004D6487">
              <w:rPr>
                <w:color w:val="000000"/>
                <w:sz w:val="20"/>
              </w:rPr>
              <w:t>Προμηθευτές και λοιπές υποχρεώσεις</w:t>
            </w:r>
          </w:p>
        </w:tc>
        <w:tc>
          <w:tcPr>
            <w:tcW w:w="1985" w:type="dxa"/>
            <w:tcBorders>
              <w:top w:val="nil"/>
              <w:left w:val="nil"/>
              <w:bottom w:val="nil"/>
              <w:right w:val="nil"/>
            </w:tcBorders>
            <w:shd w:val="clear" w:color="auto" w:fill="E2EFD9"/>
            <w:noWrap/>
            <w:vAlign w:val="bottom"/>
          </w:tcPr>
          <w:p w14:paraId="61328CE3" w14:textId="0093B04C" w:rsidR="005E46E0" w:rsidRPr="0025770E" w:rsidRDefault="005E46E0" w:rsidP="005E0EB8">
            <w:pPr>
              <w:spacing w:after="0" w:line="240" w:lineRule="auto"/>
              <w:jc w:val="right"/>
              <w:rPr>
                <w:rFonts w:ascii="Aptos" w:hAnsi="Aptos" w:cs="Calibri"/>
                <w:color w:val="000000"/>
                <w:sz w:val="20"/>
                <w:szCs w:val="20"/>
              </w:rPr>
            </w:pPr>
            <w:r w:rsidRPr="009D33B7">
              <w:rPr>
                <w:rFonts w:ascii="Aptos" w:hAnsi="Aptos" w:cs="Calibri"/>
                <w:color w:val="000000"/>
                <w:sz w:val="20"/>
                <w:szCs w:val="20"/>
              </w:rPr>
              <w:t>863</w:t>
            </w:r>
            <w:r w:rsidR="00B9461C">
              <w:rPr>
                <w:rFonts w:ascii="Aptos" w:hAnsi="Aptos" w:cs="Calibri"/>
                <w:color w:val="000000"/>
                <w:sz w:val="20"/>
                <w:szCs w:val="20"/>
              </w:rPr>
              <w:t>.</w:t>
            </w:r>
            <w:r w:rsidRPr="009D33B7">
              <w:rPr>
                <w:rFonts w:ascii="Aptos" w:hAnsi="Aptos" w:cs="Calibri"/>
                <w:color w:val="000000"/>
                <w:sz w:val="20"/>
                <w:szCs w:val="20"/>
              </w:rPr>
              <w:t>148</w:t>
            </w:r>
          </w:p>
        </w:tc>
        <w:tc>
          <w:tcPr>
            <w:tcW w:w="283" w:type="dxa"/>
            <w:tcBorders>
              <w:top w:val="nil"/>
              <w:left w:val="nil"/>
              <w:bottom w:val="nil"/>
              <w:right w:val="nil"/>
            </w:tcBorders>
            <w:noWrap/>
            <w:vAlign w:val="bottom"/>
          </w:tcPr>
          <w:p w14:paraId="6B53C9A9"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tcPr>
          <w:p w14:paraId="086C5980" w14:textId="41AB5D65"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741</w:t>
            </w:r>
            <w:r w:rsidR="00B9461C">
              <w:rPr>
                <w:rFonts w:ascii="Aptos" w:hAnsi="Aptos" w:cs="Calibri"/>
                <w:color w:val="000000"/>
                <w:sz w:val="20"/>
                <w:szCs w:val="20"/>
              </w:rPr>
              <w:t>.</w:t>
            </w:r>
            <w:r w:rsidRPr="00BE5E19">
              <w:rPr>
                <w:rFonts w:ascii="Aptos" w:hAnsi="Aptos" w:cs="Calibri"/>
                <w:color w:val="000000"/>
                <w:sz w:val="20"/>
                <w:szCs w:val="20"/>
              </w:rPr>
              <w:t>824</w:t>
            </w:r>
          </w:p>
        </w:tc>
      </w:tr>
      <w:tr w:rsidR="005E46E0" w:rsidRPr="00BE5E19" w14:paraId="074043F3"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32C5E890" w14:textId="6EA84815" w:rsidR="005E46E0" w:rsidRPr="00BE5E19" w:rsidRDefault="005E46E0" w:rsidP="005E0EB8">
            <w:pPr>
              <w:spacing w:after="0" w:line="240" w:lineRule="auto"/>
              <w:jc w:val="both"/>
              <w:rPr>
                <w:rFonts w:ascii="Aptos" w:eastAsia="Times New Roman" w:hAnsi="Aptos"/>
                <w:sz w:val="20"/>
                <w:szCs w:val="20"/>
                <w:lang w:val="en-GB" w:eastAsia="el-GR"/>
              </w:rPr>
            </w:pPr>
            <w:r w:rsidRPr="004D6487">
              <w:rPr>
                <w:rFonts w:eastAsia="Times New Roman"/>
                <w:sz w:val="20"/>
                <w:szCs w:val="20"/>
                <w:lang w:eastAsia="el-GR"/>
              </w:rPr>
              <w:t>Προβλέψεις</w:t>
            </w:r>
          </w:p>
        </w:tc>
        <w:tc>
          <w:tcPr>
            <w:tcW w:w="1985" w:type="dxa"/>
            <w:tcBorders>
              <w:top w:val="nil"/>
              <w:left w:val="nil"/>
              <w:bottom w:val="nil"/>
              <w:right w:val="nil"/>
            </w:tcBorders>
            <w:shd w:val="clear" w:color="auto" w:fill="E2EFD9"/>
            <w:noWrap/>
            <w:vAlign w:val="bottom"/>
          </w:tcPr>
          <w:p w14:paraId="6D77AAE9" w14:textId="5A7052F8" w:rsidR="005E46E0" w:rsidRPr="0025770E" w:rsidRDefault="005E46E0" w:rsidP="005E0EB8">
            <w:pPr>
              <w:spacing w:after="0" w:line="240" w:lineRule="auto"/>
              <w:jc w:val="right"/>
              <w:rPr>
                <w:rFonts w:ascii="Aptos" w:hAnsi="Aptos" w:cs="Calibri"/>
                <w:color w:val="000000"/>
                <w:sz w:val="20"/>
                <w:szCs w:val="20"/>
              </w:rPr>
            </w:pPr>
            <w:r w:rsidRPr="0025770E">
              <w:rPr>
                <w:rFonts w:ascii="Aptos" w:hAnsi="Aptos" w:cs="Calibri"/>
                <w:color w:val="000000"/>
                <w:sz w:val="20"/>
                <w:szCs w:val="20"/>
              </w:rPr>
              <w:t>-</w:t>
            </w:r>
            <w:r w:rsidRPr="00BE5E19">
              <w:rPr>
                <w:rFonts w:ascii="Aptos" w:hAnsi="Aptos" w:cs="Calibri"/>
                <w:color w:val="000000"/>
                <w:sz w:val="20"/>
                <w:szCs w:val="20"/>
              </w:rPr>
              <w:t> </w:t>
            </w:r>
          </w:p>
        </w:tc>
        <w:tc>
          <w:tcPr>
            <w:tcW w:w="283" w:type="dxa"/>
            <w:tcBorders>
              <w:top w:val="nil"/>
              <w:left w:val="nil"/>
              <w:bottom w:val="nil"/>
              <w:right w:val="nil"/>
            </w:tcBorders>
            <w:noWrap/>
            <w:vAlign w:val="bottom"/>
          </w:tcPr>
          <w:p w14:paraId="22E49B3E"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372450E5" w14:textId="1410AB40"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16</w:t>
            </w:r>
            <w:r w:rsidR="00B9461C">
              <w:rPr>
                <w:rFonts w:ascii="Aptos" w:hAnsi="Aptos" w:cs="Calibri"/>
                <w:color w:val="000000"/>
                <w:sz w:val="20"/>
                <w:szCs w:val="20"/>
              </w:rPr>
              <w:t>.</w:t>
            </w:r>
            <w:r w:rsidRPr="00BE5E19">
              <w:rPr>
                <w:rFonts w:ascii="Aptos" w:hAnsi="Aptos" w:cs="Calibri"/>
                <w:color w:val="000000"/>
                <w:sz w:val="20"/>
                <w:szCs w:val="20"/>
              </w:rPr>
              <w:t>953</w:t>
            </w:r>
          </w:p>
        </w:tc>
      </w:tr>
      <w:tr w:rsidR="005E46E0" w:rsidRPr="00BE5E19" w14:paraId="0E259548"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477B8430" w14:textId="2B5B06F1" w:rsidR="005E46E0" w:rsidRPr="00BE5E19" w:rsidRDefault="005E46E0" w:rsidP="005E0EB8">
            <w:pPr>
              <w:spacing w:after="0" w:line="240" w:lineRule="auto"/>
              <w:jc w:val="both"/>
              <w:rPr>
                <w:rFonts w:ascii="Aptos" w:eastAsia="Times New Roman" w:hAnsi="Aptos"/>
                <w:sz w:val="20"/>
                <w:szCs w:val="20"/>
                <w:lang w:val="en-GB" w:eastAsia="el-GR"/>
              </w:rPr>
            </w:pPr>
            <w:r w:rsidRPr="004D6487">
              <w:rPr>
                <w:rFonts w:eastAsia="Times New Roman"/>
                <w:sz w:val="20"/>
                <w:szCs w:val="20"/>
                <w:lang w:eastAsia="el-GR"/>
              </w:rPr>
              <w:t>Συμβατικές υποχρεώσεις</w:t>
            </w:r>
          </w:p>
        </w:tc>
        <w:tc>
          <w:tcPr>
            <w:tcW w:w="1985" w:type="dxa"/>
            <w:tcBorders>
              <w:top w:val="nil"/>
              <w:left w:val="nil"/>
              <w:bottom w:val="nil"/>
              <w:right w:val="nil"/>
            </w:tcBorders>
            <w:shd w:val="clear" w:color="auto" w:fill="E2EFD9"/>
            <w:noWrap/>
            <w:vAlign w:val="bottom"/>
          </w:tcPr>
          <w:p w14:paraId="688B0724" w14:textId="533F473E"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222</w:t>
            </w:r>
            <w:r w:rsidR="00B9461C">
              <w:rPr>
                <w:rFonts w:ascii="Aptos" w:hAnsi="Aptos" w:cs="Calibri"/>
                <w:color w:val="000000"/>
                <w:sz w:val="20"/>
                <w:szCs w:val="20"/>
              </w:rPr>
              <w:t>.</w:t>
            </w:r>
            <w:r w:rsidRPr="00BE5E19">
              <w:rPr>
                <w:rFonts w:ascii="Aptos" w:hAnsi="Aptos" w:cs="Calibri"/>
                <w:color w:val="000000"/>
                <w:sz w:val="20"/>
                <w:szCs w:val="20"/>
              </w:rPr>
              <w:t>711</w:t>
            </w:r>
          </w:p>
        </w:tc>
        <w:tc>
          <w:tcPr>
            <w:tcW w:w="283" w:type="dxa"/>
            <w:tcBorders>
              <w:top w:val="nil"/>
              <w:left w:val="nil"/>
              <w:bottom w:val="nil"/>
              <w:right w:val="nil"/>
            </w:tcBorders>
            <w:noWrap/>
            <w:vAlign w:val="bottom"/>
          </w:tcPr>
          <w:p w14:paraId="389DEAE3"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1D48D524" w14:textId="67A97E2F"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208</w:t>
            </w:r>
            <w:r w:rsidR="00B9461C">
              <w:rPr>
                <w:rFonts w:ascii="Aptos" w:hAnsi="Aptos" w:cs="Calibri"/>
                <w:color w:val="000000"/>
                <w:sz w:val="20"/>
                <w:szCs w:val="20"/>
              </w:rPr>
              <w:t>.</w:t>
            </w:r>
            <w:r w:rsidRPr="00BE5E19">
              <w:rPr>
                <w:rFonts w:ascii="Aptos" w:hAnsi="Aptos" w:cs="Calibri"/>
                <w:color w:val="000000"/>
                <w:sz w:val="20"/>
                <w:szCs w:val="20"/>
              </w:rPr>
              <w:t>018</w:t>
            </w:r>
          </w:p>
        </w:tc>
      </w:tr>
      <w:tr w:rsidR="005E46E0" w:rsidRPr="00BE5E19" w14:paraId="4BA83897"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52DC9E68" w14:textId="737BD84A" w:rsidR="005E46E0" w:rsidRPr="00BE5E19" w:rsidRDefault="005E46E0" w:rsidP="005E0EB8">
            <w:pPr>
              <w:spacing w:after="0" w:line="240" w:lineRule="auto"/>
              <w:jc w:val="both"/>
              <w:rPr>
                <w:rFonts w:ascii="Aptos" w:eastAsia="Times New Roman" w:hAnsi="Aptos"/>
                <w:sz w:val="20"/>
                <w:szCs w:val="20"/>
                <w:lang w:val="en-GB" w:eastAsia="el-GR"/>
              </w:rPr>
            </w:pPr>
            <w:r w:rsidRPr="004D6487">
              <w:rPr>
                <w:rFonts w:eastAsia="Times New Roman"/>
                <w:sz w:val="20"/>
                <w:szCs w:val="20"/>
                <w:lang w:eastAsia="el-GR"/>
              </w:rPr>
              <w:t>Υποχρέωση από φόρο εισοδήματος</w:t>
            </w:r>
          </w:p>
        </w:tc>
        <w:tc>
          <w:tcPr>
            <w:tcW w:w="1985" w:type="dxa"/>
            <w:tcBorders>
              <w:top w:val="nil"/>
              <w:left w:val="nil"/>
              <w:bottom w:val="nil"/>
              <w:right w:val="nil"/>
            </w:tcBorders>
            <w:shd w:val="clear" w:color="auto" w:fill="E2EFD9"/>
            <w:noWrap/>
            <w:vAlign w:val="bottom"/>
          </w:tcPr>
          <w:p w14:paraId="74B5DEE9" w14:textId="4932CD79"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50</w:t>
            </w:r>
            <w:r w:rsidR="00B9461C">
              <w:rPr>
                <w:rFonts w:ascii="Aptos" w:hAnsi="Aptos" w:cs="Calibri"/>
                <w:color w:val="000000"/>
                <w:sz w:val="20"/>
                <w:szCs w:val="20"/>
              </w:rPr>
              <w:t>.</w:t>
            </w:r>
            <w:r w:rsidRPr="00BE5E19">
              <w:rPr>
                <w:rFonts w:ascii="Aptos" w:hAnsi="Aptos" w:cs="Calibri"/>
                <w:color w:val="000000"/>
                <w:sz w:val="20"/>
                <w:szCs w:val="20"/>
              </w:rPr>
              <w:t>371</w:t>
            </w:r>
          </w:p>
        </w:tc>
        <w:tc>
          <w:tcPr>
            <w:tcW w:w="283" w:type="dxa"/>
            <w:tcBorders>
              <w:top w:val="nil"/>
              <w:left w:val="nil"/>
              <w:bottom w:val="nil"/>
              <w:right w:val="nil"/>
            </w:tcBorders>
            <w:noWrap/>
            <w:vAlign w:val="bottom"/>
          </w:tcPr>
          <w:p w14:paraId="00357667"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nil"/>
              <w:right w:val="nil"/>
            </w:tcBorders>
            <w:noWrap/>
            <w:vAlign w:val="bottom"/>
            <w:hideMark/>
          </w:tcPr>
          <w:p w14:paraId="1E0BF44F" w14:textId="7326E1F2"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28</w:t>
            </w:r>
            <w:r w:rsidR="00B9461C">
              <w:rPr>
                <w:rFonts w:ascii="Aptos" w:hAnsi="Aptos" w:cs="Calibri"/>
                <w:color w:val="000000"/>
                <w:sz w:val="20"/>
                <w:szCs w:val="20"/>
              </w:rPr>
              <w:t>.</w:t>
            </w:r>
            <w:r w:rsidRPr="00BE5E19">
              <w:rPr>
                <w:rFonts w:ascii="Aptos" w:hAnsi="Aptos" w:cs="Calibri"/>
                <w:color w:val="000000"/>
                <w:sz w:val="20"/>
                <w:szCs w:val="20"/>
              </w:rPr>
              <w:t>975</w:t>
            </w:r>
          </w:p>
        </w:tc>
      </w:tr>
      <w:tr w:rsidR="005E46E0" w:rsidRPr="00BE5E19" w14:paraId="01B59B83"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0F8FE26F" w14:textId="467F4CE1" w:rsidR="005E46E0" w:rsidRPr="00BE5E19" w:rsidRDefault="005E46E0" w:rsidP="005E0EB8">
            <w:pPr>
              <w:spacing w:after="0" w:line="240" w:lineRule="auto"/>
              <w:jc w:val="both"/>
              <w:rPr>
                <w:rFonts w:ascii="Aptos" w:eastAsia="Times New Roman" w:hAnsi="Aptos"/>
                <w:sz w:val="20"/>
                <w:szCs w:val="20"/>
                <w:lang w:val="en-GB" w:eastAsia="el-GR"/>
              </w:rPr>
            </w:pPr>
            <w:r w:rsidRPr="004D6487">
              <w:rPr>
                <w:rFonts w:eastAsia="Times New Roman"/>
                <w:sz w:val="20"/>
                <w:szCs w:val="20"/>
                <w:lang w:eastAsia="el-GR"/>
              </w:rPr>
              <w:t>Παράγωγα</w:t>
            </w:r>
          </w:p>
        </w:tc>
        <w:tc>
          <w:tcPr>
            <w:tcW w:w="1985" w:type="dxa"/>
            <w:tcBorders>
              <w:top w:val="nil"/>
              <w:left w:val="nil"/>
              <w:bottom w:val="single" w:sz="4" w:space="0" w:color="auto"/>
              <w:right w:val="nil"/>
            </w:tcBorders>
            <w:shd w:val="clear" w:color="auto" w:fill="E2EFD9"/>
            <w:noWrap/>
            <w:vAlign w:val="bottom"/>
          </w:tcPr>
          <w:p w14:paraId="1DEE6D2E" w14:textId="7CFE7B5D" w:rsidR="005E46E0" w:rsidRPr="0025770E" w:rsidRDefault="005E46E0" w:rsidP="005E0EB8">
            <w:pPr>
              <w:spacing w:after="0" w:line="240" w:lineRule="auto"/>
              <w:jc w:val="right"/>
              <w:rPr>
                <w:rFonts w:ascii="Aptos" w:hAnsi="Aptos" w:cs="Calibri"/>
                <w:color w:val="000000"/>
                <w:sz w:val="20"/>
                <w:szCs w:val="20"/>
              </w:rPr>
            </w:pPr>
            <w:r w:rsidRPr="00BE5E19">
              <w:rPr>
                <w:rFonts w:ascii="Aptos" w:hAnsi="Aptos" w:cs="Calibri"/>
                <w:color w:val="000000"/>
                <w:sz w:val="20"/>
                <w:szCs w:val="20"/>
              </w:rPr>
              <w:t>5</w:t>
            </w:r>
            <w:r w:rsidR="00B9461C">
              <w:rPr>
                <w:rFonts w:ascii="Aptos" w:hAnsi="Aptos" w:cs="Calibri"/>
                <w:color w:val="000000"/>
                <w:sz w:val="20"/>
                <w:szCs w:val="20"/>
              </w:rPr>
              <w:t>.</w:t>
            </w:r>
            <w:r w:rsidRPr="00BE5E19">
              <w:rPr>
                <w:rFonts w:ascii="Aptos" w:hAnsi="Aptos" w:cs="Calibri"/>
                <w:color w:val="000000"/>
                <w:sz w:val="20"/>
                <w:szCs w:val="20"/>
              </w:rPr>
              <w:t>080</w:t>
            </w:r>
          </w:p>
        </w:tc>
        <w:tc>
          <w:tcPr>
            <w:tcW w:w="283" w:type="dxa"/>
            <w:tcBorders>
              <w:top w:val="nil"/>
              <w:left w:val="nil"/>
              <w:bottom w:val="nil"/>
              <w:right w:val="nil"/>
            </w:tcBorders>
            <w:noWrap/>
            <w:vAlign w:val="bottom"/>
          </w:tcPr>
          <w:p w14:paraId="5EDF41AB" w14:textId="77777777"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lang w:val="en-GB"/>
              </w:rPr>
              <w:t> </w:t>
            </w:r>
          </w:p>
        </w:tc>
        <w:tc>
          <w:tcPr>
            <w:tcW w:w="2178" w:type="dxa"/>
            <w:tcBorders>
              <w:top w:val="nil"/>
              <w:left w:val="nil"/>
              <w:bottom w:val="single" w:sz="4" w:space="0" w:color="auto"/>
              <w:right w:val="nil"/>
            </w:tcBorders>
            <w:noWrap/>
            <w:vAlign w:val="bottom"/>
            <w:hideMark/>
          </w:tcPr>
          <w:p w14:paraId="35E733A9" w14:textId="462ECA9D" w:rsidR="005E46E0" w:rsidRPr="00BE5E19" w:rsidRDefault="005E46E0" w:rsidP="005E0EB8">
            <w:pPr>
              <w:spacing w:after="0" w:line="240" w:lineRule="auto"/>
              <w:jc w:val="right"/>
              <w:rPr>
                <w:rFonts w:ascii="Aptos" w:hAnsi="Aptos" w:cs="Calibri"/>
                <w:color w:val="000000"/>
                <w:sz w:val="20"/>
                <w:szCs w:val="20"/>
                <w:lang w:val="en-GB"/>
              </w:rPr>
            </w:pPr>
            <w:r w:rsidRPr="00BE5E19">
              <w:rPr>
                <w:rFonts w:ascii="Aptos" w:hAnsi="Aptos" w:cs="Calibri"/>
                <w:color w:val="000000"/>
                <w:sz w:val="20"/>
                <w:szCs w:val="20"/>
              </w:rPr>
              <w:t>3</w:t>
            </w:r>
            <w:r w:rsidR="00B9461C">
              <w:rPr>
                <w:rFonts w:ascii="Aptos" w:hAnsi="Aptos" w:cs="Calibri"/>
                <w:color w:val="000000"/>
                <w:sz w:val="20"/>
                <w:szCs w:val="20"/>
              </w:rPr>
              <w:t>.</w:t>
            </w:r>
            <w:r w:rsidRPr="00BE5E19">
              <w:rPr>
                <w:rFonts w:ascii="Aptos" w:hAnsi="Aptos" w:cs="Calibri"/>
                <w:color w:val="000000"/>
                <w:sz w:val="20"/>
                <w:szCs w:val="20"/>
              </w:rPr>
              <w:t>532</w:t>
            </w:r>
          </w:p>
        </w:tc>
      </w:tr>
      <w:tr w:rsidR="005E46E0" w:rsidRPr="00BE5E19" w14:paraId="0A569DDD"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2F1B9E26" w14:textId="77777777" w:rsidR="005E46E0" w:rsidRPr="00BE5E19" w:rsidRDefault="005E46E0" w:rsidP="005E0EB8">
            <w:pPr>
              <w:spacing w:after="0" w:line="240" w:lineRule="auto"/>
              <w:jc w:val="both"/>
              <w:rPr>
                <w:rFonts w:ascii="Aptos" w:eastAsia="Times New Roman" w:hAnsi="Aptos"/>
                <w:b/>
                <w:bCs/>
                <w:sz w:val="20"/>
                <w:szCs w:val="20"/>
                <w:lang w:val="en-GB" w:eastAsia="el-GR"/>
              </w:rPr>
            </w:pPr>
          </w:p>
        </w:tc>
        <w:tc>
          <w:tcPr>
            <w:tcW w:w="1985" w:type="dxa"/>
            <w:tcBorders>
              <w:top w:val="single" w:sz="4" w:space="0" w:color="auto"/>
              <w:left w:val="nil"/>
              <w:bottom w:val="single" w:sz="4" w:space="0" w:color="auto"/>
              <w:right w:val="nil"/>
            </w:tcBorders>
            <w:shd w:val="clear" w:color="auto" w:fill="E2EFD9"/>
            <w:noWrap/>
            <w:vAlign w:val="bottom"/>
          </w:tcPr>
          <w:p w14:paraId="518EDC11" w14:textId="62CDC320"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sidR="00B9461C">
              <w:rPr>
                <w:rFonts w:ascii="Aptos" w:hAnsi="Aptos" w:cs="Calibri"/>
                <w:b/>
                <w:bCs/>
                <w:color w:val="000000"/>
                <w:sz w:val="20"/>
                <w:szCs w:val="20"/>
              </w:rPr>
              <w:t>.</w:t>
            </w:r>
            <w:r w:rsidRPr="0025770E">
              <w:rPr>
                <w:rFonts w:ascii="Aptos" w:hAnsi="Aptos" w:cs="Calibri"/>
                <w:b/>
                <w:bCs/>
                <w:color w:val="000000"/>
                <w:sz w:val="20"/>
                <w:szCs w:val="20"/>
              </w:rPr>
              <w:t>641</w:t>
            </w:r>
            <w:r w:rsidR="00B9461C">
              <w:rPr>
                <w:rFonts w:ascii="Aptos" w:hAnsi="Aptos" w:cs="Calibri"/>
                <w:b/>
                <w:bCs/>
                <w:color w:val="000000"/>
                <w:sz w:val="20"/>
                <w:szCs w:val="20"/>
              </w:rPr>
              <w:t>.</w:t>
            </w:r>
            <w:r w:rsidRPr="0025770E">
              <w:rPr>
                <w:rFonts w:ascii="Aptos" w:hAnsi="Aptos" w:cs="Calibri"/>
                <w:b/>
                <w:bCs/>
                <w:color w:val="000000"/>
                <w:sz w:val="20"/>
                <w:szCs w:val="20"/>
              </w:rPr>
              <w:t>516</w:t>
            </w:r>
          </w:p>
        </w:tc>
        <w:tc>
          <w:tcPr>
            <w:tcW w:w="283" w:type="dxa"/>
            <w:tcBorders>
              <w:left w:val="nil"/>
              <w:right w:val="nil"/>
            </w:tcBorders>
            <w:noWrap/>
            <w:vAlign w:val="bottom"/>
          </w:tcPr>
          <w:p w14:paraId="709D54DC"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5ECD7036" w14:textId="0A192A7C"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1</w:t>
            </w:r>
            <w:r w:rsidR="00B9461C">
              <w:rPr>
                <w:rFonts w:ascii="Aptos" w:hAnsi="Aptos" w:cs="Calibri"/>
                <w:b/>
                <w:bCs/>
                <w:color w:val="000000"/>
                <w:sz w:val="20"/>
                <w:szCs w:val="20"/>
              </w:rPr>
              <w:t>.</w:t>
            </w:r>
            <w:r w:rsidRPr="0025770E">
              <w:rPr>
                <w:rFonts w:ascii="Aptos" w:hAnsi="Aptos" w:cs="Calibri"/>
                <w:b/>
                <w:bCs/>
                <w:color w:val="000000"/>
                <w:sz w:val="20"/>
                <w:szCs w:val="20"/>
              </w:rPr>
              <w:t>440</w:t>
            </w:r>
            <w:r w:rsidR="00B9461C">
              <w:rPr>
                <w:rFonts w:ascii="Aptos" w:hAnsi="Aptos" w:cs="Calibri"/>
                <w:b/>
                <w:bCs/>
                <w:color w:val="000000"/>
                <w:sz w:val="20"/>
                <w:szCs w:val="20"/>
              </w:rPr>
              <w:t>.</w:t>
            </w:r>
            <w:r w:rsidRPr="0025770E">
              <w:rPr>
                <w:rFonts w:ascii="Aptos" w:hAnsi="Aptos" w:cs="Calibri"/>
                <w:b/>
                <w:bCs/>
                <w:color w:val="000000"/>
                <w:sz w:val="20"/>
                <w:szCs w:val="20"/>
              </w:rPr>
              <w:t>356</w:t>
            </w:r>
          </w:p>
        </w:tc>
      </w:tr>
      <w:tr w:rsidR="005E46E0" w:rsidRPr="00BE5E19" w14:paraId="6D7ACECF" w14:textId="77777777" w:rsidTr="005E46E0">
        <w:trPr>
          <w:trHeight w:hRule="exact" w:val="255"/>
        </w:trPr>
        <w:tc>
          <w:tcPr>
            <w:tcW w:w="5670" w:type="dxa"/>
            <w:tcBorders>
              <w:top w:val="nil"/>
              <w:left w:val="nil"/>
              <w:bottom w:val="nil"/>
              <w:right w:val="nil"/>
            </w:tcBorders>
            <w:shd w:val="clear" w:color="000000" w:fill="FFFFFF"/>
            <w:noWrap/>
            <w:vAlign w:val="center"/>
            <w:hideMark/>
          </w:tcPr>
          <w:p w14:paraId="37F2DD62" w14:textId="1FBD67E9" w:rsidR="005E46E0" w:rsidRPr="00BE5E19" w:rsidRDefault="005E46E0" w:rsidP="005E0EB8">
            <w:pPr>
              <w:spacing w:after="0" w:line="240" w:lineRule="auto"/>
              <w:jc w:val="both"/>
              <w:rPr>
                <w:rFonts w:ascii="Aptos" w:eastAsia="Times New Roman" w:hAnsi="Aptos"/>
                <w:b/>
                <w:bCs/>
                <w:sz w:val="20"/>
                <w:szCs w:val="20"/>
                <w:lang w:val="en-GB" w:eastAsia="el-GR"/>
              </w:rPr>
            </w:pPr>
            <w:r w:rsidRPr="004D6487">
              <w:rPr>
                <w:b/>
                <w:color w:val="000000"/>
                <w:sz w:val="20"/>
              </w:rPr>
              <w:t>Σύνολο υποχρεώσεων</w:t>
            </w:r>
          </w:p>
        </w:tc>
        <w:tc>
          <w:tcPr>
            <w:tcW w:w="1985" w:type="dxa"/>
            <w:tcBorders>
              <w:top w:val="single" w:sz="4" w:space="0" w:color="auto"/>
              <w:left w:val="nil"/>
              <w:bottom w:val="single" w:sz="4" w:space="0" w:color="auto"/>
              <w:right w:val="nil"/>
            </w:tcBorders>
            <w:shd w:val="clear" w:color="auto" w:fill="E2EFD9"/>
            <w:noWrap/>
            <w:vAlign w:val="bottom"/>
          </w:tcPr>
          <w:p w14:paraId="7B23D7FB" w14:textId="3E5A7D17"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1</w:t>
            </w:r>
            <w:r w:rsidR="00B9461C">
              <w:rPr>
                <w:rFonts w:ascii="Aptos" w:hAnsi="Aptos" w:cs="Calibri"/>
                <w:b/>
                <w:bCs/>
                <w:color w:val="000000"/>
                <w:sz w:val="20"/>
                <w:szCs w:val="20"/>
              </w:rPr>
              <w:t>.</w:t>
            </w:r>
            <w:r w:rsidRPr="0025770E">
              <w:rPr>
                <w:rFonts w:ascii="Aptos" w:hAnsi="Aptos" w:cs="Calibri"/>
                <w:b/>
                <w:bCs/>
                <w:color w:val="000000"/>
                <w:sz w:val="20"/>
                <w:szCs w:val="20"/>
              </w:rPr>
              <w:t>945</w:t>
            </w:r>
            <w:r w:rsidR="00B9461C">
              <w:rPr>
                <w:rFonts w:ascii="Aptos" w:hAnsi="Aptos" w:cs="Calibri"/>
                <w:b/>
                <w:bCs/>
                <w:color w:val="000000"/>
                <w:sz w:val="20"/>
                <w:szCs w:val="20"/>
              </w:rPr>
              <w:t>.</w:t>
            </w:r>
            <w:r w:rsidRPr="0025770E">
              <w:rPr>
                <w:rFonts w:ascii="Aptos" w:hAnsi="Aptos" w:cs="Calibri"/>
                <w:b/>
                <w:bCs/>
                <w:color w:val="000000"/>
                <w:sz w:val="20"/>
                <w:szCs w:val="20"/>
              </w:rPr>
              <w:t>856</w:t>
            </w:r>
          </w:p>
        </w:tc>
        <w:tc>
          <w:tcPr>
            <w:tcW w:w="283" w:type="dxa"/>
            <w:tcBorders>
              <w:top w:val="nil"/>
              <w:left w:val="nil"/>
              <w:right w:val="nil"/>
            </w:tcBorders>
            <w:noWrap/>
            <w:vAlign w:val="bottom"/>
          </w:tcPr>
          <w:p w14:paraId="2921C127"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0EFBD082" w14:textId="082188A1"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1</w:t>
            </w:r>
            <w:r w:rsidR="00B9461C">
              <w:rPr>
                <w:rFonts w:ascii="Aptos" w:hAnsi="Aptos" w:cs="Calibri"/>
                <w:b/>
                <w:bCs/>
                <w:color w:val="000000"/>
                <w:sz w:val="20"/>
                <w:szCs w:val="20"/>
              </w:rPr>
              <w:t>.</w:t>
            </w:r>
            <w:r w:rsidRPr="0025770E">
              <w:rPr>
                <w:rFonts w:ascii="Aptos" w:hAnsi="Aptos" w:cs="Calibri"/>
                <w:b/>
                <w:bCs/>
                <w:color w:val="000000"/>
                <w:sz w:val="20"/>
                <w:szCs w:val="20"/>
              </w:rPr>
              <w:t>740</w:t>
            </w:r>
            <w:r w:rsidR="00B9461C">
              <w:rPr>
                <w:rFonts w:ascii="Aptos" w:hAnsi="Aptos" w:cs="Calibri"/>
                <w:b/>
                <w:bCs/>
                <w:color w:val="000000"/>
                <w:sz w:val="20"/>
                <w:szCs w:val="20"/>
              </w:rPr>
              <w:t>.</w:t>
            </w:r>
            <w:r w:rsidRPr="0025770E">
              <w:rPr>
                <w:rFonts w:ascii="Aptos" w:hAnsi="Aptos" w:cs="Calibri"/>
                <w:b/>
                <w:bCs/>
                <w:color w:val="000000"/>
                <w:sz w:val="20"/>
                <w:szCs w:val="20"/>
              </w:rPr>
              <w:t>307</w:t>
            </w:r>
          </w:p>
        </w:tc>
      </w:tr>
      <w:tr w:rsidR="005E46E0" w:rsidRPr="00BE5E19" w14:paraId="7F9132BB" w14:textId="77777777" w:rsidTr="005E46E0">
        <w:trPr>
          <w:trHeight w:hRule="exact" w:val="255"/>
        </w:trPr>
        <w:tc>
          <w:tcPr>
            <w:tcW w:w="5670" w:type="dxa"/>
            <w:tcBorders>
              <w:top w:val="nil"/>
              <w:left w:val="nil"/>
              <w:bottom w:val="nil"/>
              <w:right w:val="nil"/>
            </w:tcBorders>
            <w:shd w:val="clear" w:color="000000" w:fill="FFFFFF"/>
            <w:noWrap/>
            <w:vAlign w:val="bottom"/>
            <w:hideMark/>
          </w:tcPr>
          <w:p w14:paraId="1B5CD543" w14:textId="2622A0FB" w:rsidR="005E46E0" w:rsidRPr="005E46E0" w:rsidRDefault="005E46E0" w:rsidP="005E0EB8">
            <w:pPr>
              <w:spacing w:after="0" w:line="240" w:lineRule="auto"/>
              <w:jc w:val="both"/>
              <w:rPr>
                <w:rFonts w:ascii="Aptos" w:eastAsia="Times New Roman" w:hAnsi="Aptos"/>
                <w:b/>
                <w:bCs/>
                <w:sz w:val="20"/>
                <w:szCs w:val="20"/>
                <w:lang w:eastAsia="el-GR"/>
              </w:rPr>
            </w:pPr>
            <w:r w:rsidRPr="004D6487">
              <w:rPr>
                <w:rFonts w:eastAsia="Times New Roman"/>
                <w:b/>
                <w:bCs/>
                <w:sz w:val="20"/>
                <w:szCs w:val="20"/>
                <w:lang w:eastAsia="el-GR"/>
              </w:rPr>
              <w:t>Σύνολο ιδίων κεφαλαίων και υποχρεώσεων</w:t>
            </w:r>
          </w:p>
        </w:tc>
        <w:tc>
          <w:tcPr>
            <w:tcW w:w="1985" w:type="dxa"/>
            <w:tcBorders>
              <w:top w:val="single" w:sz="4" w:space="0" w:color="auto"/>
              <w:left w:val="nil"/>
              <w:bottom w:val="single" w:sz="4" w:space="0" w:color="auto"/>
              <w:right w:val="nil"/>
            </w:tcBorders>
            <w:shd w:val="clear" w:color="auto" w:fill="E2EFD9"/>
            <w:noWrap/>
            <w:vAlign w:val="bottom"/>
          </w:tcPr>
          <w:p w14:paraId="536E1AC5" w14:textId="4C72EA14" w:rsidR="005E46E0" w:rsidRPr="0025770E" w:rsidRDefault="005E46E0" w:rsidP="005E0EB8">
            <w:pPr>
              <w:spacing w:after="0" w:line="240" w:lineRule="auto"/>
              <w:jc w:val="right"/>
              <w:rPr>
                <w:rFonts w:ascii="Aptos" w:hAnsi="Aptos" w:cs="Calibri"/>
                <w:b/>
                <w:bCs/>
                <w:color w:val="000000"/>
                <w:sz w:val="20"/>
                <w:szCs w:val="20"/>
              </w:rPr>
            </w:pPr>
            <w:r w:rsidRPr="0025770E">
              <w:rPr>
                <w:rFonts w:ascii="Aptos" w:hAnsi="Aptos" w:cs="Calibri"/>
                <w:b/>
                <w:bCs/>
                <w:color w:val="000000"/>
                <w:sz w:val="20"/>
                <w:szCs w:val="20"/>
              </w:rPr>
              <w:t>2</w:t>
            </w:r>
            <w:r w:rsidR="00B9461C">
              <w:rPr>
                <w:rFonts w:ascii="Aptos" w:hAnsi="Aptos" w:cs="Calibri"/>
                <w:b/>
                <w:bCs/>
                <w:color w:val="000000"/>
                <w:sz w:val="20"/>
                <w:szCs w:val="20"/>
              </w:rPr>
              <w:t>.</w:t>
            </w:r>
            <w:r w:rsidRPr="0025770E">
              <w:rPr>
                <w:rFonts w:ascii="Aptos" w:hAnsi="Aptos" w:cs="Calibri"/>
                <w:b/>
                <w:bCs/>
                <w:color w:val="000000"/>
                <w:sz w:val="20"/>
                <w:szCs w:val="20"/>
              </w:rPr>
              <w:t>898</w:t>
            </w:r>
            <w:r w:rsidR="00B9461C">
              <w:rPr>
                <w:rFonts w:ascii="Aptos" w:hAnsi="Aptos" w:cs="Calibri"/>
                <w:b/>
                <w:bCs/>
                <w:color w:val="000000"/>
                <w:sz w:val="20"/>
                <w:szCs w:val="20"/>
              </w:rPr>
              <w:t>.</w:t>
            </w:r>
            <w:r w:rsidRPr="0025770E">
              <w:rPr>
                <w:rFonts w:ascii="Aptos" w:hAnsi="Aptos" w:cs="Calibri"/>
                <w:b/>
                <w:bCs/>
                <w:color w:val="000000"/>
                <w:sz w:val="20"/>
                <w:szCs w:val="20"/>
              </w:rPr>
              <w:t>067</w:t>
            </w:r>
          </w:p>
        </w:tc>
        <w:tc>
          <w:tcPr>
            <w:tcW w:w="283" w:type="dxa"/>
            <w:tcBorders>
              <w:top w:val="nil"/>
              <w:left w:val="nil"/>
              <w:right w:val="nil"/>
            </w:tcBorders>
            <w:noWrap/>
            <w:vAlign w:val="bottom"/>
          </w:tcPr>
          <w:p w14:paraId="4205D095" w14:textId="77777777"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lang w:val="en-GB"/>
              </w:rPr>
              <w:t> </w:t>
            </w:r>
          </w:p>
        </w:tc>
        <w:tc>
          <w:tcPr>
            <w:tcW w:w="2178" w:type="dxa"/>
            <w:tcBorders>
              <w:top w:val="single" w:sz="4" w:space="0" w:color="auto"/>
              <w:left w:val="nil"/>
              <w:bottom w:val="single" w:sz="4" w:space="0" w:color="auto"/>
              <w:right w:val="nil"/>
            </w:tcBorders>
            <w:noWrap/>
            <w:vAlign w:val="bottom"/>
            <w:hideMark/>
          </w:tcPr>
          <w:p w14:paraId="741FB5DF" w14:textId="59F7ABA1" w:rsidR="005E46E0" w:rsidRPr="0025770E" w:rsidRDefault="005E46E0" w:rsidP="005E0EB8">
            <w:pPr>
              <w:spacing w:after="0" w:line="240" w:lineRule="auto"/>
              <w:jc w:val="right"/>
              <w:rPr>
                <w:rFonts w:ascii="Aptos" w:hAnsi="Aptos" w:cs="Calibri"/>
                <w:b/>
                <w:bCs/>
                <w:color w:val="000000"/>
                <w:sz w:val="20"/>
                <w:szCs w:val="20"/>
                <w:lang w:val="en-GB"/>
              </w:rPr>
            </w:pPr>
            <w:r w:rsidRPr="0025770E">
              <w:rPr>
                <w:rFonts w:ascii="Aptos" w:hAnsi="Aptos" w:cs="Calibri"/>
                <w:b/>
                <w:bCs/>
                <w:color w:val="000000"/>
                <w:sz w:val="20"/>
                <w:szCs w:val="20"/>
              </w:rPr>
              <w:t>2</w:t>
            </w:r>
            <w:r w:rsidR="00B9461C">
              <w:rPr>
                <w:rFonts w:ascii="Aptos" w:hAnsi="Aptos" w:cs="Calibri"/>
                <w:b/>
                <w:bCs/>
                <w:color w:val="000000"/>
                <w:sz w:val="20"/>
                <w:szCs w:val="20"/>
              </w:rPr>
              <w:t>.</w:t>
            </w:r>
            <w:r w:rsidRPr="0025770E">
              <w:rPr>
                <w:rFonts w:ascii="Aptos" w:hAnsi="Aptos" w:cs="Calibri"/>
                <w:b/>
                <w:bCs/>
                <w:color w:val="000000"/>
                <w:sz w:val="20"/>
                <w:szCs w:val="20"/>
              </w:rPr>
              <w:t>622</w:t>
            </w:r>
            <w:r w:rsidR="00B9461C">
              <w:rPr>
                <w:rFonts w:ascii="Aptos" w:hAnsi="Aptos" w:cs="Calibri"/>
                <w:b/>
                <w:bCs/>
                <w:color w:val="000000"/>
                <w:sz w:val="20"/>
                <w:szCs w:val="20"/>
              </w:rPr>
              <w:t>.</w:t>
            </w:r>
            <w:r w:rsidRPr="0025770E">
              <w:rPr>
                <w:rFonts w:ascii="Aptos" w:hAnsi="Aptos" w:cs="Calibri"/>
                <w:b/>
                <w:bCs/>
                <w:color w:val="000000"/>
                <w:sz w:val="20"/>
                <w:szCs w:val="20"/>
              </w:rPr>
              <w:t>588</w:t>
            </w:r>
          </w:p>
        </w:tc>
      </w:tr>
    </w:tbl>
    <w:p w14:paraId="42093D97" w14:textId="77777777" w:rsidR="00B9461C" w:rsidRPr="00CC26A8" w:rsidRDefault="00DC445D" w:rsidP="005E0EB8">
      <w:pPr>
        <w:keepNext/>
        <w:keepLines/>
        <w:spacing w:after="120" w:line="240" w:lineRule="auto"/>
        <w:jc w:val="both"/>
        <w:outlineLvl w:val="1"/>
        <w:rPr>
          <w:rFonts w:eastAsia="SimSun" w:cs="Calibri"/>
          <w:b/>
          <w:bCs/>
          <w:color w:val="4F6228"/>
          <w:sz w:val="24"/>
          <w:szCs w:val="24"/>
        </w:rPr>
      </w:pPr>
      <w:r w:rsidRPr="00BE5E19">
        <w:rPr>
          <w:rFonts w:ascii="Aptos" w:eastAsia="SimSun" w:hAnsi="Aptos" w:cs="Calibri"/>
          <w:b/>
          <w:bCs/>
          <w:color w:val="4F6228"/>
          <w:sz w:val="24"/>
          <w:szCs w:val="24"/>
          <w:lang w:val="en-GB"/>
        </w:rPr>
        <w:br w:type="page"/>
      </w:r>
      <w:bookmarkStart w:id="10" w:name="_Hlk174309681"/>
      <w:r w:rsidR="00B9461C" w:rsidRPr="00CC26A8">
        <w:rPr>
          <w:rFonts w:eastAsia="SimSun" w:cs="Calibri"/>
          <w:b/>
          <w:bCs/>
          <w:color w:val="4F6228"/>
          <w:sz w:val="24"/>
          <w:szCs w:val="24"/>
        </w:rPr>
        <w:lastRenderedPageBreak/>
        <w:t xml:space="preserve">Παράρτημα </w:t>
      </w:r>
      <w:r w:rsidR="00B9461C">
        <w:rPr>
          <w:rFonts w:eastAsia="SimSun" w:cs="Calibri"/>
          <w:b/>
          <w:bCs/>
          <w:color w:val="4F6228"/>
          <w:sz w:val="24"/>
          <w:szCs w:val="24"/>
        </w:rPr>
        <w:t>Δ</w:t>
      </w:r>
      <w:r w:rsidR="00B9461C" w:rsidRPr="00CC26A8">
        <w:rPr>
          <w:rFonts w:eastAsia="SimSun" w:cs="Calibri"/>
          <w:b/>
          <w:bCs/>
          <w:color w:val="4F6228"/>
          <w:sz w:val="24"/>
          <w:szCs w:val="24"/>
        </w:rPr>
        <w:t xml:space="preserve"> – Εναλλακτικά μέτρα απόδοσης</w:t>
      </w:r>
    </w:p>
    <w:p w14:paraId="778CA9B0"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 xml:space="preserve">Παράλληλα με τα αποτελέσματα που αναφέρονται σύμφωνα με τα Διεθνή Πρότυπα Χρηματοοικονομικής Αναφοράς («ΔΠΧΑ»), όπως υιοθετήθηκαν από την Ευρωπαϊκή Ένωση, </w:t>
      </w:r>
      <w:r>
        <w:rPr>
          <w:rFonts w:eastAsia="MS Mincho"/>
          <w:sz w:val="20"/>
          <w:szCs w:val="24"/>
        </w:rPr>
        <w:t>το</w:t>
      </w:r>
      <w:r w:rsidRPr="00A46933">
        <w:rPr>
          <w:rFonts w:eastAsia="MS Mincho"/>
          <w:sz w:val="20"/>
          <w:szCs w:val="24"/>
        </w:rPr>
        <w:t xml:space="preserve"> </w:t>
      </w:r>
      <w:r>
        <w:rPr>
          <w:rFonts w:eastAsia="MS Mincho"/>
          <w:sz w:val="20"/>
          <w:szCs w:val="24"/>
        </w:rPr>
        <w:t>παρόν</w:t>
      </w:r>
      <w:r w:rsidRPr="00A46933">
        <w:rPr>
          <w:rFonts w:eastAsia="MS Mincho"/>
          <w:sz w:val="20"/>
          <w:szCs w:val="24"/>
        </w:rPr>
        <w:t xml:space="preserve"> </w:t>
      </w:r>
      <w:r>
        <w:rPr>
          <w:rFonts w:eastAsia="MS Mincho"/>
          <w:sz w:val="20"/>
          <w:szCs w:val="24"/>
        </w:rPr>
        <w:t>δελτίο τύπου</w:t>
      </w:r>
      <w:r w:rsidRPr="00A46933">
        <w:rPr>
          <w:rFonts w:eastAsia="MS Mincho"/>
          <w:sz w:val="20"/>
          <w:szCs w:val="24"/>
        </w:rPr>
        <w:t xml:space="preserve"> περιέχει πληροφορίες σχετικά με ορισμένα εναλλακτικά μέτρα απόδοσης που δεν καταρτίζονται σύμφωνα με τα ΔΠΧΑ («Εναλλακτικά Μέτρα Απόδοσης» ή «ΕΜΑ»). Τα ΕΜΑ που χρησιμοποιούνται στ</w:t>
      </w:r>
      <w:r>
        <w:rPr>
          <w:rFonts w:eastAsia="MS Mincho"/>
          <w:sz w:val="20"/>
          <w:szCs w:val="24"/>
        </w:rPr>
        <w:t>ο</w:t>
      </w:r>
      <w:r w:rsidRPr="00A46933">
        <w:rPr>
          <w:rFonts w:eastAsia="MS Mincho"/>
          <w:sz w:val="20"/>
          <w:szCs w:val="24"/>
        </w:rPr>
        <w:t xml:space="preserve"> παρ</w:t>
      </w:r>
      <w:r>
        <w:rPr>
          <w:rFonts w:eastAsia="MS Mincho"/>
          <w:sz w:val="20"/>
          <w:szCs w:val="24"/>
        </w:rPr>
        <w:t>όν</w:t>
      </w:r>
      <w:r w:rsidRPr="00A46933">
        <w:rPr>
          <w:rFonts w:eastAsia="MS Mincho"/>
          <w:sz w:val="20"/>
          <w:szCs w:val="24"/>
        </w:rPr>
        <w:t xml:space="preserve"> </w:t>
      </w:r>
      <w:r>
        <w:rPr>
          <w:rFonts w:eastAsia="MS Mincho"/>
          <w:sz w:val="20"/>
          <w:szCs w:val="24"/>
        </w:rPr>
        <w:t>δελτίο τύπου</w:t>
      </w:r>
      <w:r w:rsidRPr="00A46933">
        <w:rPr>
          <w:rFonts w:eastAsia="MS Mincho"/>
          <w:sz w:val="20"/>
          <w:szCs w:val="24"/>
        </w:rPr>
        <w:t xml:space="preserve"> είναι τα εξής: </w:t>
      </w:r>
      <w:r w:rsidRPr="00A46933">
        <w:rPr>
          <w:rFonts w:eastAsia="MS Mincho"/>
          <w:b/>
          <w:sz w:val="20"/>
          <w:szCs w:val="24"/>
        </w:rPr>
        <w:t xml:space="preserve">Κέρδη προ φόρων, χρηματοδοτικών και επενδυτικών αποτελεσμάτων (EBIT), Αναπροσαρμοσμένα κέρδη προ φόρων, χρηματοδοτικών και επενδυτικών αποτελεσμάτων (α-EBIT), Κέρδη προ φόρων, χρηματοδοτικών, επενδυτικών αποτελεσμάτων και αποσβέσεων (EBITDA), Αναπροσαρμοσμένα κέρδη προ φόρων, χρηματοδοτικών, επενδυτικών αποτελεσμάτων και αποσβέσεων (α-EBITDA) </w:t>
      </w:r>
      <w:r w:rsidRPr="00A46933">
        <w:rPr>
          <w:rFonts w:eastAsia="MS Mincho"/>
          <w:sz w:val="20"/>
          <w:szCs w:val="24"/>
        </w:rPr>
        <w:t>και</w:t>
      </w:r>
      <w:r w:rsidRPr="00A46933">
        <w:rPr>
          <w:rFonts w:eastAsia="MS Mincho"/>
          <w:b/>
          <w:sz w:val="20"/>
          <w:szCs w:val="24"/>
        </w:rPr>
        <w:t xml:space="preserve"> Καθαρός δανεισμός.</w:t>
      </w:r>
      <w:r w:rsidRPr="00A46933">
        <w:rPr>
          <w:rFonts w:eastAsia="MS Mincho"/>
          <w:sz w:val="20"/>
          <w:szCs w:val="24"/>
        </w:rPr>
        <w:t xml:space="preserve"> Οι συμφωνίες με τα άμεσα συγκρίσιμα χρηματοοικονομικά μέτρα των ΔΠΧΑ παρουσιάζονται στη συνέχεια.</w:t>
      </w:r>
    </w:p>
    <w:p w14:paraId="6A56AAFD" w14:textId="77777777" w:rsidR="00B9461C" w:rsidRPr="00A46933" w:rsidRDefault="00B9461C" w:rsidP="005E0EB8">
      <w:pPr>
        <w:spacing w:after="120" w:line="240" w:lineRule="auto"/>
        <w:jc w:val="both"/>
      </w:pPr>
      <w:r w:rsidRPr="00A46933">
        <w:rPr>
          <w:rFonts w:eastAsia="MS Mincho"/>
          <w:sz w:val="20"/>
          <w:szCs w:val="24"/>
        </w:rPr>
        <w:t xml:space="preserve">Πιστεύουμε ότι αυτά τα ΕΜΑ είναι σημαντικά συμπληρωματικά μέτρα των λειτουργικών και οικονομικών επιδόσεών μας και χρησιμοποιούνται συχνά από οικονομικούς αναλυτές, επενδυτές και άλλα μέρη που δραστηριοποιούνται στην αξιολόγηση εταιρειών στον </w:t>
      </w:r>
      <w:r>
        <w:rPr>
          <w:rFonts w:eastAsia="MS Mincho"/>
          <w:sz w:val="20"/>
          <w:szCs w:val="24"/>
        </w:rPr>
        <w:t>τομέα</w:t>
      </w:r>
      <w:r w:rsidRPr="00A46933">
        <w:rPr>
          <w:rFonts w:eastAsia="MS Mincho"/>
          <w:sz w:val="20"/>
          <w:szCs w:val="24"/>
        </w:rPr>
        <w:t xml:space="preserve"> των σωλήνων χάλυβα καθώς και στον </w:t>
      </w:r>
      <w:r>
        <w:rPr>
          <w:rFonts w:eastAsia="MS Mincho"/>
          <w:sz w:val="20"/>
          <w:szCs w:val="24"/>
        </w:rPr>
        <w:t>τομέα</w:t>
      </w:r>
      <w:r w:rsidRPr="00A46933">
        <w:rPr>
          <w:rFonts w:eastAsia="MS Mincho"/>
          <w:sz w:val="20"/>
          <w:szCs w:val="24"/>
        </w:rPr>
        <w:t xml:space="preserve"> παραγωγής, διανομής και εμπορίας καλωδίων. Παρέχοντας αυτές τις πληροφορίες μαζί με τις συμφωνίες που περιλαμβάνονται στο παρόν παράρτημα, πιστεύουμε ότι οι επενδυτές θα έχουν τη δυνατότητα να κατανοήσουν καλύτερα τις δραστηριότητές μας, τα αποτελέσματα των λειτουργιών μας και την οικονομική κατάστασή μας. Ωστόσο, αυτά τα ΕΜΑ δεν πρέπει να θεωρούνται ως εναλλακτικά αυτών που ήδη έχουν υιοθετηθεί από τα ΔΠΧΑ.</w:t>
      </w:r>
    </w:p>
    <w:p w14:paraId="19EA950A"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Αυτά τα ΕΜΑ αποτελούν επίσης κύριους δείκτες επιδόσεων βάσει των οποίων η Cenergy Holdings καταρτίζει, παρακολουθεί και αξιολογεί τους ετήσιους προϋπολογισμούς και τα μακροπρόθεσμα (5ετή) προγράμματά της. Ωστόσο, πρέπει να επισημανθεί ότι τα αναπροσαρμοσμένα στοιχεία δεν πρέπει να θεωρούνται μη λειτουργικά ή μη επαναλαμβανόμενα.</w:t>
      </w:r>
    </w:p>
    <w:p w14:paraId="57644E0A"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Τα EBIT, αναπροσαρμοσμένα ΕΒΙΤ, EBITDA και αναπροσαρμοσμένα EBITDA έχουν περιορισμούς ως αναλυτικά εργαλεία και οι επενδυτές δεν πρέπει να τα εξετάζουν μεμονωμένα ή ως υποκατάστατο της ανάλυσης των αποτελεσμάτων εκμετάλλευσης όπως αναφέρονται βάσει των ΔΠΧΑ και ενδέχεται να μην είναι συγκρίσιμα με μέτρα άλλων εταιρειών με παρεμφερή τίτλο.</w:t>
      </w:r>
    </w:p>
    <w:p w14:paraId="3E12B252" w14:textId="42D8FB24" w:rsidR="00B9461C" w:rsidRPr="00A46933" w:rsidRDefault="00B9461C" w:rsidP="005E0EB8">
      <w:pPr>
        <w:spacing w:after="120" w:line="240" w:lineRule="auto"/>
        <w:jc w:val="both"/>
        <w:rPr>
          <w:rFonts w:cs="Calibri"/>
          <w:b/>
          <w:sz w:val="20"/>
          <w:szCs w:val="20"/>
          <w:u w:val="single"/>
        </w:rPr>
      </w:pPr>
      <w:r w:rsidRPr="00A46933">
        <w:rPr>
          <w:rFonts w:eastAsia="MS Mincho"/>
          <w:sz w:val="20"/>
          <w:szCs w:val="24"/>
        </w:rPr>
        <w:t>Οι ορισμοί των ΕΜΑ παρέμειναν αμετάβλητοι σε σχέση με αυτούς που ίσχυαν στις 31 Δεκεμβρίου 202</w:t>
      </w:r>
      <w:r>
        <w:rPr>
          <w:rFonts w:eastAsia="MS Mincho"/>
          <w:sz w:val="20"/>
          <w:szCs w:val="24"/>
        </w:rPr>
        <w:t>5</w:t>
      </w:r>
      <w:r w:rsidRPr="00A46933">
        <w:rPr>
          <w:rFonts w:eastAsia="MS Mincho"/>
          <w:sz w:val="20"/>
          <w:szCs w:val="24"/>
        </w:rPr>
        <w:t>.</w:t>
      </w:r>
      <w:r>
        <w:rPr>
          <w:rFonts w:eastAsia="MS Mincho"/>
          <w:sz w:val="20"/>
          <w:szCs w:val="24"/>
        </w:rPr>
        <w:t xml:space="preserve"> </w:t>
      </w:r>
      <w:r w:rsidRPr="00A46933">
        <w:rPr>
          <w:rFonts w:eastAsia="MS Mincho"/>
          <w:sz w:val="20"/>
          <w:szCs w:val="24"/>
        </w:rPr>
        <w:t xml:space="preserve">Οι ορισμοί των ΕΜΑ είναι οι εξής: </w:t>
      </w:r>
    </w:p>
    <w:p w14:paraId="6E4FC1B6"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 xml:space="preserve">Ως </w:t>
      </w:r>
      <w:r w:rsidRPr="00A46933">
        <w:rPr>
          <w:rFonts w:eastAsia="MS Mincho"/>
          <w:b/>
          <w:sz w:val="20"/>
          <w:szCs w:val="24"/>
        </w:rPr>
        <w:t xml:space="preserve">EBIT </w:t>
      </w:r>
      <w:r w:rsidRPr="00A46933">
        <w:rPr>
          <w:rFonts w:eastAsia="MS Mincho"/>
          <w:sz w:val="20"/>
          <w:szCs w:val="24"/>
        </w:rPr>
        <w:t>ορίζεται το αποτέλεσμα της περιόδου (κέρδη μετά από φόρους) πριν από:</w:t>
      </w:r>
    </w:p>
    <w:p w14:paraId="04C75FBA" w14:textId="77777777" w:rsidR="00B9461C" w:rsidRPr="00A46933" w:rsidRDefault="00B9461C" w:rsidP="005E0EB8">
      <w:pPr>
        <w:numPr>
          <w:ilvl w:val="0"/>
          <w:numId w:val="5"/>
        </w:numPr>
        <w:spacing w:after="120" w:line="240" w:lineRule="auto"/>
        <w:ind w:left="851" w:hanging="567"/>
        <w:contextualSpacing/>
        <w:jc w:val="both"/>
        <w:rPr>
          <w:rFonts w:eastAsia="SimSun" w:cs="Calibri"/>
          <w:sz w:val="20"/>
          <w:szCs w:val="20"/>
        </w:rPr>
      </w:pPr>
      <w:r w:rsidRPr="00A46933">
        <w:rPr>
          <w:rFonts w:eastAsia="MS Mincho"/>
          <w:sz w:val="20"/>
          <w:szCs w:val="24"/>
        </w:rPr>
        <w:t>φόρο εισοδήματος,</w:t>
      </w:r>
    </w:p>
    <w:p w14:paraId="6FB018BE" w14:textId="4673E0AD" w:rsidR="00B9461C" w:rsidRPr="00A46933" w:rsidRDefault="00B9461C" w:rsidP="005E0EB8">
      <w:pPr>
        <w:numPr>
          <w:ilvl w:val="0"/>
          <w:numId w:val="5"/>
        </w:numPr>
        <w:spacing w:after="120" w:line="240" w:lineRule="auto"/>
        <w:ind w:left="851" w:hanging="567"/>
        <w:contextualSpacing/>
        <w:jc w:val="both"/>
        <w:rPr>
          <w:rFonts w:eastAsia="SimSun" w:cs="Calibri"/>
          <w:sz w:val="20"/>
          <w:szCs w:val="20"/>
        </w:rPr>
      </w:pPr>
      <w:r w:rsidRPr="00A46933">
        <w:rPr>
          <w:rFonts w:eastAsia="MS Mincho"/>
          <w:sz w:val="20"/>
          <w:szCs w:val="24"/>
        </w:rPr>
        <w:t>καθαρά χρηματοοικονομικά έξοδα</w:t>
      </w:r>
      <w:r w:rsidR="00C37E94">
        <w:rPr>
          <w:rFonts w:eastAsia="MS Mincho"/>
          <w:sz w:val="20"/>
          <w:szCs w:val="24"/>
        </w:rPr>
        <w:t>.</w:t>
      </w:r>
    </w:p>
    <w:p w14:paraId="51B21760"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 xml:space="preserve">Ως </w:t>
      </w:r>
      <w:r w:rsidRPr="00A46933">
        <w:rPr>
          <w:rFonts w:eastAsia="MS Mincho"/>
          <w:b/>
          <w:sz w:val="20"/>
          <w:szCs w:val="24"/>
        </w:rPr>
        <w:t xml:space="preserve">EBITDA </w:t>
      </w:r>
      <w:r w:rsidRPr="00A46933">
        <w:rPr>
          <w:rFonts w:eastAsia="MS Mincho"/>
          <w:sz w:val="20"/>
          <w:szCs w:val="24"/>
        </w:rPr>
        <w:t>ορίζεται το αποτέλεσμα της περιόδου (κέρδη μετά από φόρους) πριν από:</w:t>
      </w:r>
    </w:p>
    <w:p w14:paraId="38379C83"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φόρο εισοδήματος,</w:t>
      </w:r>
    </w:p>
    <w:p w14:paraId="487C10E0"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καθαρά χρηματοοικονομικά έξοδα</w:t>
      </w:r>
    </w:p>
    <w:p w14:paraId="5AA03F8F" w14:textId="667F391E"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αποσβέσεις</w:t>
      </w:r>
      <w:r w:rsidR="00C37E94">
        <w:rPr>
          <w:rFonts w:eastAsia="MS Mincho"/>
          <w:sz w:val="20"/>
          <w:szCs w:val="24"/>
        </w:rPr>
        <w:t>.</w:t>
      </w:r>
    </w:p>
    <w:p w14:paraId="50B33727" w14:textId="77777777" w:rsidR="00B9461C" w:rsidRPr="00A46933" w:rsidRDefault="00B9461C" w:rsidP="005E0EB8">
      <w:pPr>
        <w:spacing w:after="120" w:line="240" w:lineRule="auto"/>
        <w:jc w:val="both"/>
        <w:rPr>
          <w:rFonts w:cs="Calibri"/>
          <w:b/>
          <w:sz w:val="20"/>
          <w:szCs w:val="20"/>
        </w:rPr>
      </w:pPr>
      <w:r w:rsidRPr="00A46933">
        <w:rPr>
          <w:rFonts w:eastAsia="MS Mincho"/>
          <w:sz w:val="20"/>
          <w:szCs w:val="24"/>
        </w:rPr>
        <w:t xml:space="preserve">Τα </w:t>
      </w:r>
      <w:r w:rsidRPr="00A46933">
        <w:rPr>
          <w:rFonts w:eastAsia="MS Mincho"/>
          <w:b/>
          <w:sz w:val="20"/>
          <w:szCs w:val="24"/>
        </w:rPr>
        <w:t xml:space="preserve">α-EBIT </w:t>
      </w:r>
      <w:r w:rsidRPr="00A46933">
        <w:rPr>
          <w:rFonts w:eastAsia="MS Mincho"/>
          <w:sz w:val="20"/>
          <w:szCs w:val="24"/>
        </w:rPr>
        <w:t>και</w:t>
      </w:r>
      <w:r w:rsidRPr="00A46933">
        <w:rPr>
          <w:rFonts w:eastAsia="MS Mincho"/>
          <w:b/>
          <w:sz w:val="20"/>
          <w:szCs w:val="24"/>
        </w:rPr>
        <w:t xml:space="preserve"> α-EBITDA </w:t>
      </w:r>
      <w:r w:rsidRPr="00A46933">
        <w:rPr>
          <w:rFonts w:eastAsia="MS Mincho"/>
          <w:sz w:val="20"/>
          <w:szCs w:val="24"/>
        </w:rPr>
        <w:t>ορίζονται ως EBIT και EBITDA, αντίστοιχα, αναπροσαρμοσμένα ώστε να μην περιλαμβάνουν:</w:t>
      </w:r>
    </w:p>
    <w:p w14:paraId="0657A3B8"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αποτέλεσμα μετάλλου,</w:t>
      </w:r>
    </w:p>
    <w:p w14:paraId="6B30876F"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απομείωση</w:t>
      </w:r>
      <w:r>
        <w:rPr>
          <w:rFonts w:eastAsia="MS Mincho"/>
          <w:sz w:val="20"/>
          <w:szCs w:val="24"/>
        </w:rPr>
        <w:t xml:space="preserve"> </w:t>
      </w:r>
      <w:r w:rsidRPr="00A46933">
        <w:rPr>
          <w:rFonts w:eastAsia="MS Mincho"/>
          <w:sz w:val="20"/>
          <w:szCs w:val="24"/>
        </w:rPr>
        <w:t xml:space="preserve">/ αντιλογισμό απομείωσης από ενσώματα, άυλα πάγια στοιχεία και επενδύσεις σε ακίνητα, </w:t>
      </w:r>
    </w:p>
    <w:p w14:paraId="3FC89301"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απομείωση / αντιλογισμό απομείωσης επενδύσεων,</w:t>
      </w:r>
    </w:p>
    <w:p w14:paraId="0CBC5393"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κέρδη</w:t>
      </w:r>
      <w:r>
        <w:rPr>
          <w:rFonts w:eastAsia="MS Mincho"/>
          <w:sz w:val="20"/>
          <w:szCs w:val="24"/>
        </w:rPr>
        <w:t xml:space="preserve"> </w:t>
      </w:r>
      <w:r w:rsidRPr="00A46933">
        <w:rPr>
          <w:rFonts w:eastAsia="MS Mincho"/>
          <w:sz w:val="20"/>
          <w:szCs w:val="24"/>
        </w:rPr>
        <w:t>/</w:t>
      </w:r>
      <w:r>
        <w:rPr>
          <w:rFonts w:eastAsia="MS Mincho"/>
          <w:sz w:val="20"/>
          <w:szCs w:val="24"/>
        </w:rPr>
        <w:t xml:space="preserve"> </w:t>
      </w:r>
      <w:r w:rsidRPr="00A46933">
        <w:rPr>
          <w:rFonts w:eastAsia="MS Mincho"/>
          <w:sz w:val="20"/>
          <w:szCs w:val="24"/>
        </w:rPr>
        <w:t>ζημιές από πωλήσεις ενσώματων στοιχείων, άυλων περιουσιακών στοιχείων, επενδύσεων σε ακίνητα και επενδύσεων,</w:t>
      </w:r>
    </w:p>
    <w:p w14:paraId="2FDEE972"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έκτακτα δικαστικά έξοδα και πρόστιμα, και</w:t>
      </w:r>
    </w:p>
    <w:p w14:paraId="15AE995A"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λοιπά έκτακτα ή ασυνήθη έσοδα</w:t>
      </w:r>
      <w:r>
        <w:rPr>
          <w:rFonts w:eastAsia="MS Mincho"/>
          <w:sz w:val="20"/>
          <w:szCs w:val="24"/>
        </w:rPr>
        <w:t xml:space="preserve"> </w:t>
      </w:r>
      <w:r w:rsidRPr="00A46933">
        <w:rPr>
          <w:rFonts w:eastAsia="MS Mincho"/>
          <w:sz w:val="20"/>
          <w:szCs w:val="24"/>
        </w:rPr>
        <w:t>/</w:t>
      </w:r>
      <w:r>
        <w:rPr>
          <w:rFonts w:eastAsia="MS Mincho"/>
          <w:sz w:val="20"/>
          <w:szCs w:val="24"/>
        </w:rPr>
        <w:t xml:space="preserve"> </w:t>
      </w:r>
      <w:r w:rsidRPr="00A46933">
        <w:rPr>
          <w:rFonts w:eastAsia="MS Mincho"/>
          <w:sz w:val="20"/>
          <w:szCs w:val="24"/>
        </w:rPr>
        <w:t>έξοδα.</w:t>
      </w:r>
    </w:p>
    <w:p w14:paraId="663DCA7D"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 xml:space="preserve">Ο </w:t>
      </w:r>
      <w:r w:rsidRPr="00A46933">
        <w:rPr>
          <w:rFonts w:eastAsia="MS Mincho"/>
          <w:b/>
          <w:bCs/>
          <w:sz w:val="20"/>
          <w:szCs w:val="24"/>
        </w:rPr>
        <w:t>καθαρός δανεισμός</w:t>
      </w:r>
      <w:r w:rsidRPr="00A46933">
        <w:rPr>
          <w:rFonts w:eastAsia="MS Mincho"/>
          <w:sz w:val="20"/>
          <w:szCs w:val="24"/>
        </w:rPr>
        <w:t xml:space="preserve"> ορίζεται ως το σύνολο από:</w:t>
      </w:r>
    </w:p>
    <w:p w14:paraId="6B8E1179"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Μακροπρόθεσμα δάνεια και υποχρεώσεις από μισθώσεις</w:t>
      </w:r>
    </w:p>
    <w:p w14:paraId="444136A8" w14:textId="77777777"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Βραχυπρόθεσμα δάνεια και υποχρεώσεις από μισθώσεις</w:t>
      </w:r>
    </w:p>
    <w:p w14:paraId="14DAB3DC" w14:textId="77777777" w:rsidR="00B9461C" w:rsidRPr="00A46933" w:rsidRDefault="00B9461C" w:rsidP="005E0EB8">
      <w:pPr>
        <w:spacing w:after="120" w:line="240" w:lineRule="auto"/>
        <w:jc w:val="both"/>
        <w:rPr>
          <w:rFonts w:cs="Calibri"/>
          <w:sz w:val="20"/>
          <w:szCs w:val="20"/>
        </w:rPr>
      </w:pPr>
      <w:r w:rsidRPr="00A46933">
        <w:rPr>
          <w:rFonts w:eastAsia="MS Mincho"/>
          <w:sz w:val="20"/>
          <w:szCs w:val="24"/>
        </w:rPr>
        <w:t>Μείον:</w:t>
      </w:r>
    </w:p>
    <w:p w14:paraId="2532B6D2" w14:textId="21B42FD9" w:rsidR="00B9461C" w:rsidRPr="00A46933" w:rsidRDefault="00B9461C" w:rsidP="005E0EB8">
      <w:pPr>
        <w:numPr>
          <w:ilvl w:val="0"/>
          <w:numId w:val="5"/>
        </w:numPr>
        <w:spacing w:after="120" w:line="240" w:lineRule="auto"/>
        <w:ind w:left="851" w:hanging="567"/>
        <w:contextualSpacing/>
        <w:jc w:val="both"/>
        <w:rPr>
          <w:rFonts w:eastAsia="MS Mincho"/>
          <w:sz w:val="20"/>
          <w:szCs w:val="24"/>
        </w:rPr>
      </w:pPr>
      <w:r w:rsidRPr="00A46933">
        <w:rPr>
          <w:rFonts w:eastAsia="MS Mincho"/>
          <w:sz w:val="20"/>
          <w:szCs w:val="24"/>
        </w:rPr>
        <w:t>Ταμειακά διαθέσιμα και ισοδύναμα</w:t>
      </w:r>
      <w:r>
        <w:rPr>
          <w:rFonts w:eastAsia="MS Mincho"/>
          <w:sz w:val="20"/>
          <w:szCs w:val="24"/>
        </w:rPr>
        <w:t>.</w:t>
      </w:r>
    </w:p>
    <w:bookmarkEnd w:id="10"/>
    <w:p w14:paraId="4A9FCA12" w14:textId="259C5D19" w:rsidR="00413083" w:rsidRPr="00BE5E19" w:rsidRDefault="00413083" w:rsidP="005E0EB8">
      <w:pPr>
        <w:keepNext/>
        <w:keepLines/>
        <w:spacing w:after="120" w:line="240" w:lineRule="auto"/>
        <w:jc w:val="both"/>
        <w:outlineLvl w:val="1"/>
        <w:rPr>
          <w:rFonts w:ascii="Aptos" w:hAnsi="Aptos" w:cs="Calibri"/>
          <w:sz w:val="20"/>
          <w:szCs w:val="20"/>
          <w:lang w:val="en-GB" w:eastAsia="x-none"/>
        </w:rPr>
      </w:pPr>
      <w:r w:rsidRPr="00BE5E19">
        <w:rPr>
          <w:rFonts w:ascii="Aptos" w:hAnsi="Aptos" w:cs="Calibri"/>
          <w:sz w:val="20"/>
          <w:szCs w:val="20"/>
          <w:lang w:val="en-GB" w:eastAsia="x-none"/>
        </w:rPr>
        <w:br w:type="page"/>
      </w:r>
    </w:p>
    <w:p w14:paraId="22FFC2E7" w14:textId="77777777" w:rsidR="0031446E" w:rsidRDefault="0031446E" w:rsidP="005E0EB8">
      <w:pPr>
        <w:spacing w:after="120" w:line="240" w:lineRule="auto"/>
        <w:jc w:val="both"/>
        <w:rPr>
          <w:rFonts w:ascii="Aptos" w:hAnsi="Aptos" w:cs="Calibri"/>
          <w:b/>
          <w:sz w:val="20"/>
          <w:szCs w:val="20"/>
          <w:u w:val="single"/>
          <w:lang w:eastAsia="x-none"/>
        </w:rPr>
      </w:pPr>
      <w:r w:rsidRPr="0031446E">
        <w:rPr>
          <w:rFonts w:ascii="Aptos" w:hAnsi="Aptos" w:cs="Calibri"/>
          <w:b/>
          <w:sz w:val="20"/>
          <w:szCs w:val="20"/>
          <w:u w:val="single"/>
          <w:lang w:val="en-GB" w:eastAsia="x-none"/>
        </w:rPr>
        <w:lastRenderedPageBreak/>
        <w:t>Πίνακες συμφωνίας:</w:t>
      </w:r>
    </w:p>
    <w:p w14:paraId="06B3134C" w14:textId="2E523674" w:rsidR="000829A8" w:rsidRPr="00BE5E19" w:rsidRDefault="00677257" w:rsidP="005E0EB8">
      <w:pPr>
        <w:spacing w:after="120" w:line="240" w:lineRule="auto"/>
        <w:jc w:val="both"/>
        <w:rPr>
          <w:rFonts w:ascii="Aptos" w:hAnsi="Aptos" w:cs="Calibri"/>
          <w:b/>
          <w:sz w:val="20"/>
          <w:szCs w:val="20"/>
          <w:u w:val="single"/>
          <w:lang w:val="en-GB" w:eastAsia="x-none"/>
        </w:rPr>
      </w:pPr>
      <w:r w:rsidRPr="00BE5E19">
        <w:rPr>
          <w:rFonts w:ascii="Aptos" w:hAnsi="Aptos" w:cs="Calibri"/>
          <w:b/>
          <w:sz w:val="20"/>
          <w:szCs w:val="20"/>
          <w:u w:val="single"/>
          <w:lang w:val="en-GB" w:eastAsia="x-none"/>
        </w:rPr>
        <w:t xml:space="preserve">EBIT and </w:t>
      </w:r>
      <w:r w:rsidR="000829A8" w:rsidRPr="00BE5E19">
        <w:rPr>
          <w:rFonts w:ascii="Aptos" w:hAnsi="Aptos" w:cs="Calibri"/>
          <w:b/>
          <w:sz w:val="20"/>
          <w:szCs w:val="20"/>
          <w:u w:val="single"/>
          <w:lang w:val="en-GB" w:eastAsia="x-none"/>
        </w:rPr>
        <w:t>EBITDA:</w:t>
      </w:r>
    </w:p>
    <w:tbl>
      <w:tblPr>
        <w:tblW w:w="10458" w:type="dxa"/>
        <w:tblLayout w:type="fixed"/>
        <w:tblLook w:val="04A0" w:firstRow="1" w:lastRow="0" w:firstColumn="1" w:lastColumn="0" w:noHBand="0" w:noVBand="1"/>
      </w:tblPr>
      <w:tblGrid>
        <w:gridCol w:w="3348"/>
        <w:gridCol w:w="888"/>
        <w:gridCol w:w="889"/>
        <w:gridCol w:w="889"/>
        <w:gridCol w:w="889"/>
        <w:gridCol w:w="888"/>
        <w:gridCol w:w="889"/>
        <w:gridCol w:w="889"/>
        <w:gridCol w:w="889"/>
      </w:tblGrid>
      <w:tr w:rsidR="0031446E" w:rsidRPr="00BE5E19" w14:paraId="00629CAA" w14:textId="77777777" w:rsidTr="00864BD3">
        <w:trPr>
          <w:trHeight w:val="300"/>
        </w:trPr>
        <w:tc>
          <w:tcPr>
            <w:tcW w:w="3348" w:type="dxa"/>
            <w:tcBorders>
              <w:top w:val="single" w:sz="4" w:space="0" w:color="476C2E"/>
              <w:left w:val="single" w:sz="4" w:space="0" w:color="476C2E"/>
              <w:bottom w:val="nil"/>
              <w:right w:val="nil"/>
            </w:tcBorders>
            <w:shd w:val="clear" w:color="auto" w:fill="476C2E"/>
            <w:noWrap/>
            <w:vAlign w:val="center"/>
            <w:hideMark/>
          </w:tcPr>
          <w:p w14:paraId="1EF80D13" w14:textId="77777777" w:rsidR="0031446E" w:rsidRPr="00BE5E19" w:rsidRDefault="0031446E" w:rsidP="0031446E">
            <w:pPr>
              <w:spacing w:after="0" w:line="240" w:lineRule="auto"/>
              <w:jc w:val="both"/>
              <w:rPr>
                <w:rFonts w:ascii="Aptos" w:eastAsia="Times New Roman" w:hAnsi="Aptos" w:cs="Arial"/>
                <w:b/>
                <w:bCs/>
                <w:color w:val="FFFFFF"/>
                <w:sz w:val="20"/>
                <w:szCs w:val="20"/>
                <w:lang w:val="en-GB"/>
              </w:rPr>
            </w:pPr>
          </w:p>
        </w:tc>
        <w:tc>
          <w:tcPr>
            <w:tcW w:w="1777" w:type="dxa"/>
            <w:gridSpan w:val="2"/>
            <w:tcBorders>
              <w:top w:val="single" w:sz="4" w:space="0" w:color="476C2E"/>
              <w:left w:val="nil"/>
              <w:bottom w:val="nil"/>
              <w:right w:val="nil"/>
            </w:tcBorders>
            <w:shd w:val="clear" w:color="auto" w:fill="476C2E"/>
            <w:noWrap/>
            <w:vAlign w:val="center"/>
            <w:hideMark/>
          </w:tcPr>
          <w:p w14:paraId="2D1A49CD" w14:textId="64354ED2"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6C0543">
              <w:rPr>
                <w:b/>
                <w:color w:val="FFFFFF"/>
                <w:sz w:val="20"/>
                <w:u w:val="single"/>
              </w:rPr>
              <w:t>Καλώδια</w:t>
            </w:r>
          </w:p>
        </w:tc>
        <w:tc>
          <w:tcPr>
            <w:tcW w:w="1778" w:type="dxa"/>
            <w:gridSpan w:val="2"/>
            <w:tcBorders>
              <w:top w:val="single" w:sz="4" w:space="0" w:color="476C2E"/>
              <w:left w:val="nil"/>
              <w:bottom w:val="nil"/>
              <w:right w:val="nil"/>
            </w:tcBorders>
            <w:shd w:val="clear" w:color="auto" w:fill="476C2E"/>
            <w:noWrap/>
            <w:vAlign w:val="center"/>
            <w:hideMark/>
          </w:tcPr>
          <w:p w14:paraId="648E0447" w14:textId="4DB5B2E3"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FC6E57">
              <w:rPr>
                <w:rFonts w:eastAsia="Times New Roman" w:cs="Arial"/>
                <w:b/>
                <w:bCs/>
                <w:color w:val="FFFFFF"/>
                <w:sz w:val="20"/>
                <w:szCs w:val="20"/>
                <w:u w:val="single"/>
              </w:rPr>
              <w:t>Σωλήνες χάλυβα</w:t>
            </w:r>
          </w:p>
        </w:tc>
        <w:tc>
          <w:tcPr>
            <w:tcW w:w="1777" w:type="dxa"/>
            <w:gridSpan w:val="2"/>
            <w:tcBorders>
              <w:top w:val="single" w:sz="4" w:space="0" w:color="476C2E"/>
              <w:left w:val="nil"/>
              <w:bottom w:val="nil"/>
              <w:right w:val="nil"/>
            </w:tcBorders>
            <w:shd w:val="clear" w:color="auto" w:fill="476C2E"/>
            <w:noWrap/>
            <w:vAlign w:val="center"/>
            <w:hideMark/>
          </w:tcPr>
          <w:p w14:paraId="37470A95" w14:textId="652EB521"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FC6E57">
              <w:rPr>
                <w:rFonts w:eastAsia="Times New Roman" w:cs="Arial"/>
                <w:b/>
                <w:bCs/>
                <w:color w:val="FFFFFF"/>
                <w:sz w:val="20"/>
                <w:szCs w:val="20"/>
                <w:u w:val="single"/>
              </w:rPr>
              <w:t>Λοιπές δραστηριότητες</w:t>
            </w:r>
          </w:p>
        </w:tc>
        <w:tc>
          <w:tcPr>
            <w:tcW w:w="1778" w:type="dxa"/>
            <w:gridSpan w:val="2"/>
            <w:tcBorders>
              <w:top w:val="single" w:sz="4" w:space="0" w:color="476C2E"/>
              <w:left w:val="nil"/>
              <w:bottom w:val="nil"/>
              <w:right w:val="single" w:sz="4" w:space="0" w:color="476C2E"/>
            </w:tcBorders>
            <w:shd w:val="clear" w:color="auto" w:fill="476C2E"/>
            <w:noWrap/>
            <w:vAlign w:val="center"/>
            <w:hideMark/>
          </w:tcPr>
          <w:p w14:paraId="3B6DDA75" w14:textId="0E5FE3B0"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FC6E57">
              <w:rPr>
                <w:rFonts w:eastAsia="Times New Roman"/>
                <w:b/>
                <w:bCs/>
                <w:color w:val="FFFFFF"/>
                <w:sz w:val="20"/>
                <w:szCs w:val="20"/>
                <w:u w:val="single"/>
                <w:lang w:eastAsia="el-GR"/>
              </w:rPr>
              <w:t>Σύνολο</w:t>
            </w:r>
          </w:p>
        </w:tc>
      </w:tr>
      <w:tr w:rsidR="0031446E" w:rsidRPr="00BE5E19" w14:paraId="65C7CB37" w14:textId="77777777" w:rsidTr="003A569C">
        <w:trPr>
          <w:trHeight w:val="300"/>
        </w:trPr>
        <w:tc>
          <w:tcPr>
            <w:tcW w:w="3348" w:type="dxa"/>
            <w:tcBorders>
              <w:top w:val="nil"/>
              <w:left w:val="single" w:sz="4" w:space="0" w:color="476C2E"/>
              <w:right w:val="nil"/>
            </w:tcBorders>
            <w:shd w:val="clear" w:color="auto" w:fill="476C2E"/>
            <w:noWrap/>
            <w:vAlign w:val="bottom"/>
            <w:hideMark/>
          </w:tcPr>
          <w:p w14:paraId="6220D749" w14:textId="03DF043A" w:rsidR="0031446E" w:rsidRPr="00BE5E19" w:rsidRDefault="0031446E" w:rsidP="0031446E">
            <w:pPr>
              <w:spacing w:after="0" w:line="240" w:lineRule="auto"/>
              <w:rPr>
                <w:rFonts w:ascii="Aptos" w:eastAsia="Times New Roman" w:hAnsi="Aptos" w:cs="Arial"/>
                <w:b/>
                <w:bCs/>
                <w:color w:val="FFFFFF"/>
                <w:sz w:val="20"/>
                <w:szCs w:val="20"/>
                <w:lang w:val="en-GB"/>
              </w:rPr>
            </w:pPr>
            <w:r w:rsidRPr="00FC6E57">
              <w:rPr>
                <w:rFonts w:eastAsia="Times New Roman" w:cs="Arial"/>
                <w:b/>
                <w:bCs/>
                <w:color w:val="FFFFFF"/>
                <w:sz w:val="20"/>
                <w:szCs w:val="20"/>
              </w:rPr>
              <w:t>Ποσά σε χιλιάδες ευρώ</w:t>
            </w:r>
          </w:p>
        </w:tc>
        <w:tc>
          <w:tcPr>
            <w:tcW w:w="888" w:type="dxa"/>
            <w:tcBorders>
              <w:top w:val="nil"/>
              <w:left w:val="nil"/>
              <w:right w:val="nil"/>
            </w:tcBorders>
            <w:shd w:val="clear" w:color="auto" w:fill="476C2E"/>
            <w:noWrap/>
            <w:vAlign w:val="center"/>
            <w:hideMark/>
          </w:tcPr>
          <w:p w14:paraId="20EFE7D6" w14:textId="61E55FB0"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89" w:type="dxa"/>
            <w:tcBorders>
              <w:top w:val="nil"/>
              <w:left w:val="nil"/>
              <w:right w:val="nil"/>
            </w:tcBorders>
            <w:shd w:val="clear" w:color="auto" w:fill="476C2E"/>
            <w:noWrap/>
            <w:vAlign w:val="center"/>
            <w:hideMark/>
          </w:tcPr>
          <w:p w14:paraId="2E9DB637" w14:textId="6065AC9A"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89" w:type="dxa"/>
            <w:tcBorders>
              <w:top w:val="nil"/>
              <w:left w:val="nil"/>
              <w:right w:val="nil"/>
            </w:tcBorders>
            <w:shd w:val="clear" w:color="auto" w:fill="476C2E"/>
            <w:noWrap/>
            <w:vAlign w:val="center"/>
            <w:hideMark/>
          </w:tcPr>
          <w:p w14:paraId="73641BAB" w14:textId="615588C2"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89" w:type="dxa"/>
            <w:tcBorders>
              <w:top w:val="nil"/>
              <w:left w:val="nil"/>
              <w:right w:val="nil"/>
            </w:tcBorders>
            <w:shd w:val="clear" w:color="auto" w:fill="476C2E"/>
            <w:noWrap/>
            <w:vAlign w:val="center"/>
            <w:hideMark/>
          </w:tcPr>
          <w:p w14:paraId="62865818" w14:textId="3D55A8CE"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88" w:type="dxa"/>
            <w:tcBorders>
              <w:top w:val="nil"/>
              <w:left w:val="nil"/>
              <w:right w:val="nil"/>
            </w:tcBorders>
            <w:shd w:val="clear" w:color="auto" w:fill="476C2E"/>
            <w:noWrap/>
            <w:vAlign w:val="center"/>
            <w:hideMark/>
          </w:tcPr>
          <w:p w14:paraId="56EE7CFD" w14:textId="317CA2BB"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89" w:type="dxa"/>
            <w:tcBorders>
              <w:top w:val="nil"/>
              <w:left w:val="nil"/>
              <w:right w:val="nil"/>
            </w:tcBorders>
            <w:shd w:val="clear" w:color="auto" w:fill="476C2E"/>
            <w:noWrap/>
            <w:vAlign w:val="center"/>
            <w:hideMark/>
          </w:tcPr>
          <w:p w14:paraId="163DE1CF" w14:textId="46F46E34"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89" w:type="dxa"/>
            <w:tcBorders>
              <w:top w:val="nil"/>
              <w:left w:val="nil"/>
              <w:right w:val="nil"/>
            </w:tcBorders>
            <w:shd w:val="clear" w:color="auto" w:fill="476C2E"/>
            <w:noWrap/>
            <w:vAlign w:val="center"/>
            <w:hideMark/>
          </w:tcPr>
          <w:p w14:paraId="5F0C8B41" w14:textId="410F335D"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89" w:type="dxa"/>
            <w:tcBorders>
              <w:top w:val="nil"/>
              <w:left w:val="nil"/>
              <w:right w:val="single" w:sz="4" w:space="0" w:color="476C2E"/>
            </w:tcBorders>
            <w:shd w:val="clear" w:color="auto" w:fill="476C2E"/>
            <w:noWrap/>
            <w:vAlign w:val="center"/>
            <w:hideMark/>
          </w:tcPr>
          <w:p w14:paraId="7F471A45" w14:textId="457D3C21"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r>
      <w:tr w:rsidR="0031446E" w:rsidRPr="00BE5E19" w14:paraId="6C31EA5C" w14:textId="77777777" w:rsidTr="00AB1A9A">
        <w:trPr>
          <w:trHeight w:val="300"/>
        </w:trPr>
        <w:tc>
          <w:tcPr>
            <w:tcW w:w="3348" w:type="dxa"/>
            <w:tcBorders>
              <w:top w:val="nil"/>
              <w:left w:val="single" w:sz="4" w:space="0" w:color="476C2E"/>
              <w:bottom w:val="single" w:sz="4" w:space="0" w:color="476C2E"/>
              <w:right w:val="single" w:sz="4" w:space="0" w:color="476C2E"/>
            </w:tcBorders>
            <w:noWrap/>
            <w:vAlign w:val="bottom"/>
            <w:hideMark/>
          </w:tcPr>
          <w:p w14:paraId="3CCBEA74" w14:textId="49A811B9" w:rsidR="0031446E" w:rsidRPr="0031446E" w:rsidRDefault="0031446E" w:rsidP="0031446E">
            <w:pPr>
              <w:spacing w:after="0" w:line="240" w:lineRule="auto"/>
              <w:rPr>
                <w:rFonts w:ascii="Aptos" w:eastAsia="Times New Roman" w:hAnsi="Aptos" w:cs="Arial"/>
                <w:color w:val="000000"/>
                <w:sz w:val="18"/>
                <w:szCs w:val="18"/>
              </w:rPr>
            </w:pPr>
            <w:r w:rsidRPr="00FC6E57">
              <w:rPr>
                <w:rFonts w:cs="Calibri"/>
                <w:b/>
                <w:bCs/>
                <w:color w:val="000000"/>
                <w:sz w:val="18"/>
                <w:szCs w:val="18"/>
              </w:rPr>
              <w:t>Κέρδη / (Ζημίες) προ φόρων (όπως δημοσιεύονται στην Ενοποιημένη Κατάσταση Αποτελεσμάτων)</w:t>
            </w:r>
          </w:p>
        </w:tc>
        <w:tc>
          <w:tcPr>
            <w:tcW w:w="888" w:type="dxa"/>
            <w:tcBorders>
              <w:top w:val="nil"/>
              <w:left w:val="single" w:sz="4" w:space="0" w:color="476C2E"/>
              <w:bottom w:val="single" w:sz="4" w:space="0" w:color="476C2E"/>
              <w:right w:val="nil"/>
            </w:tcBorders>
            <w:noWrap/>
            <w:vAlign w:val="center"/>
          </w:tcPr>
          <w:p w14:paraId="75EE2613" w14:textId="5C7F7C08"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133</w:t>
            </w:r>
            <w:r>
              <w:rPr>
                <w:rFonts w:ascii="Aptos" w:hAnsi="Aptos" w:cs="Calibri"/>
                <w:b/>
                <w:bCs/>
                <w:color w:val="000000"/>
                <w:sz w:val="18"/>
                <w:szCs w:val="18"/>
              </w:rPr>
              <w:t>.</w:t>
            </w:r>
            <w:r w:rsidRPr="00BE5E19">
              <w:rPr>
                <w:rFonts w:ascii="Aptos" w:hAnsi="Aptos" w:cs="Calibri"/>
                <w:b/>
                <w:bCs/>
                <w:color w:val="000000"/>
                <w:sz w:val="18"/>
                <w:szCs w:val="18"/>
              </w:rPr>
              <w:t>288</w:t>
            </w:r>
          </w:p>
        </w:tc>
        <w:tc>
          <w:tcPr>
            <w:tcW w:w="889" w:type="dxa"/>
            <w:tcBorders>
              <w:top w:val="nil"/>
              <w:left w:val="nil"/>
              <w:bottom w:val="single" w:sz="4" w:space="0" w:color="476C2E"/>
              <w:right w:val="single" w:sz="4" w:space="0" w:color="476C2E"/>
            </w:tcBorders>
            <w:noWrap/>
            <w:vAlign w:val="center"/>
          </w:tcPr>
          <w:p w14:paraId="4C37A11C" w14:textId="7D3347ED"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87</w:t>
            </w:r>
            <w:r>
              <w:rPr>
                <w:rFonts w:ascii="Aptos" w:hAnsi="Aptos" w:cs="Calibri"/>
                <w:b/>
                <w:bCs/>
                <w:color w:val="000000"/>
                <w:sz w:val="18"/>
                <w:szCs w:val="18"/>
              </w:rPr>
              <w:t>.</w:t>
            </w:r>
            <w:r w:rsidRPr="00BE5E19">
              <w:rPr>
                <w:rFonts w:ascii="Aptos" w:hAnsi="Aptos" w:cs="Calibri"/>
                <w:b/>
                <w:bCs/>
                <w:color w:val="000000"/>
                <w:sz w:val="18"/>
                <w:szCs w:val="18"/>
              </w:rPr>
              <w:t>844</w:t>
            </w:r>
          </w:p>
        </w:tc>
        <w:tc>
          <w:tcPr>
            <w:tcW w:w="889" w:type="dxa"/>
            <w:tcBorders>
              <w:top w:val="nil"/>
              <w:left w:val="single" w:sz="4" w:space="0" w:color="476C2E"/>
              <w:bottom w:val="single" w:sz="4" w:space="0" w:color="476C2E"/>
              <w:right w:val="nil"/>
            </w:tcBorders>
            <w:noWrap/>
            <w:vAlign w:val="center"/>
          </w:tcPr>
          <w:p w14:paraId="0D2C92E8" w14:textId="0093E2B3"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41</w:t>
            </w:r>
            <w:r>
              <w:rPr>
                <w:rFonts w:ascii="Aptos" w:hAnsi="Aptos" w:cs="Calibri"/>
                <w:b/>
                <w:bCs/>
                <w:color w:val="000000"/>
                <w:sz w:val="18"/>
                <w:szCs w:val="18"/>
              </w:rPr>
              <w:t>.</w:t>
            </w:r>
            <w:r w:rsidRPr="00BE5E19">
              <w:rPr>
                <w:rFonts w:ascii="Aptos" w:hAnsi="Aptos" w:cs="Calibri"/>
                <w:b/>
                <w:bCs/>
                <w:color w:val="000000"/>
                <w:sz w:val="18"/>
                <w:szCs w:val="18"/>
              </w:rPr>
              <w:t>108</w:t>
            </w:r>
          </w:p>
        </w:tc>
        <w:tc>
          <w:tcPr>
            <w:tcW w:w="889" w:type="dxa"/>
            <w:tcBorders>
              <w:top w:val="nil"/>
              <w:left w:val="nil"/>
              <w:bottom w:val="single" w:sz="4" w:space="0" w:color="476C2E"/>
              <w:right w:val="single" w:sz="4" w:space="0" w:color="476C2E"/>
            </w:tcBorders>
            <w:noWrap/>
            <w:vAlign w:val="center"/>
          </w:tcPr>
          <w:p w14:paraId="020C78B2" w14:textId="4397891F"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40</w:t>
            </w:r>
            <w:r>
              <w:rPr>
                <w:rFonts w:ascii="Aptos" w:hAnsi="Aptos" w:cs="Calibri"/>
                <w:b/>
                <w:bCs/>
                <w:color w:val="000000"/>
                <w:sz w:val="18"/>
                <w:szCs w:val="18"/>
              </w:rPr>
              <w:t>.</w:t>
            </w:r>
            <w:r w:rsidRPr="00BE5E19">
              <w:rPr>
                <w:rFonts w:ascii="Aptos" w:hAnsi="Aptos" w:cs="Calibri"/>
                <w:b/>
                <w:bCs/>
                <w:color w:val="000000"/>
                <w:sz w:val="18"/>
                <w:szCs w:val="18"/>
              </w:rPr>
              <w:t>189</w:t>
            </w:r>
          </w:p>
        </w:tc>
        <w:tc>
          <w:tcPr>
            <w:tcW w:w="888" w:type="dxa"/>
            <w:tcBorders>
              <w:top w:val="nil"/>
              <w:left w:val="single" w:sz="4" w:space="0" w:color="476C2E"/>
              <w:bottom w:val="single" w:sz="4" w:space="0" w:color="476C2E"/>
              <w:right w:val="nil"/>
            </w:tcBorders>
            <w:noWrap/>
            <w:vAlign w:val="center"/>
          </w:tcPr>
          <w:p w14:paraId="337EF0CC" w14:textId="29AB2296"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2</w:t>
            </w:r>
            <w:r>
              <w:rPr>
                <w:rFonts w:ascii="Aptos" w:hAnsi="Aptos" w:cs="Calibri"/>
                <w:b/>
                <w:bCs/>
                <w:color w:val="000000"/>
                <w:sz w:val="18"/>
                <w:szCs w:val="18"/>
              </w:rPr>
              <w:t>.</w:t>
            </w:r>
            <w:r w:rsidRPr="00BE5E19">
              <w:rPr>
                <w:rFonts w:ascii="Aptos" w:hAnsi="Aptos" w:cs="Calibri"/>
                <w:b/>
                <w:bCs/>
                <w:color w:val="000000"/>
                <w:sz w:val="18"/>
                <w:szCs w:val="18"/>
              </w:rPr>
              <w:t>609</w:t>
            </w:r>
          </w:p>
        </w:tc>
        <w:tc>
          <w:tcPr>
            <w:tcW w:w="889" w:type="dxa"/>
            <w:tcBorders>
              <w:top w:val="nil"/>
              <w:left w:val="nil"/>
              <w:bottom w:val="single" w:sz="4" w:space="0" w:color="476C2E"/>
              <w:right w:val="single" w:sz="4" w:space="0" w:color="476C2E"/>
            </w:tcBorders>
            <w:noWrap/>
            <w:vAlign w:val="center"/>
          </w:tcPr>
          <w:p w14:paraId="27E89B6E" w14:textId="180B5C39"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w:t>
            </w:r>
            <w:r>
              <w:rPr>
                <w:rFonts w:ascii="Aptos" w:hAnsi="Aptos" w:cs="Calibri"/>
                <w:b/>
                <w:bCs/>
                <w:color w:val="000000"/>
                <w:sz w:val="18"/>
                <w:szCs w:val="18"/>
              </w:rPr>
              <w:t>.</w:t>
            </w:r>
            <w:r w:rsidRPr="00BE5E19">
              <w:rPr>
                <w:rFonts w:ascii="Aptos" w:hAnsi="Aptos" w:cs="Calibri"/>
                <w:b/>
                <w:bCs/>
                <w:color w:val="000000"/>
                <w:sz w:val="18"/>
                <w:szCs w:val="18"/>
              </w:rPr>
              <w:t>483)</w:t>
            </w:r>
          </w:p>
        </w:tc>
        <w:tc>
          <w:tcPr>
            <w:tcW w:w="889" w:type="dxa"/>
            <w:tcBorders>
              <w:top w:val="nil"/>
              <w:left w:val="single" w:sz="4" w:space="0" w:color="476C2E"/>
              <w:bottom w:val="single" w:sz="4" w:space="0" w:color="476C2E"/>
              <w:right w:val="nil"/>
            </w:tcBorders>
            <w:noWrap/>
            <w:vAlign w:val="center"/>
          </w:tcPr>
          <w:p w14:paraId="219F82DC" w14:textId="2777FF39"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177</w:t>
            </w:r>
            <w:r>
              <w:rPr>
                <w:rFonts w:ascii="Aptos" w:hAnsi="Aptos" w:cs="Calibri"/>
                <w:b/>
                <w:bCs/>
                <w:color w:val="000000"/>
                <w:sz w:val="18"/>
                <w:szCs w:val="18"/>
              </w:rPr>
              <w:t>.</w:t>
            </w:r>
            <w:r w:rsidRPr="00BE5E19">
              <w:rPr>
                <w:rFonts w:ascii="Aptos" w:hAnsi="Aptos" w:cs="Calibri"/>
                <w:b/>
                <w:bCs/>
                <w:color w:val="000000"/>
                <w:sz w:val="18"/>
                <w:szCs w:val="18"/>
              </w:rPr>
              <w:t>006</w:t>
            </w:r>
          </w:p>
        </w:tc>
        <w:tc>
          <w:tcPr>
            <w:tcW w:w="889" w:type="dxa"/>
            <w:tcBorders>
              <w:top w:val="nil"/>
              <w:left w:val="nil"/>
              <w:bottom w:val="single" w:sz="4" w:space="0" w:color="476C2E"/>
              <w:right w:val="single" w:sz="4" w:space="0" w:color="476C2E"/>
            </w:tcBorders>
            <w:noWrap/>
            <w:vAlign w:val="center"/>
          </w:tcPr>
          <w:p w14:paraId="7F6BF8BA" w14:textId="3300569C"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123</w:t>
            </w:r>
            <w:r>
              <w:rPr>
                <w:rFonts w:ascii="Aptos" w:hAnsi="Aptos" w:cs="Calibri"/>
                <w:b/>
                <w:bCs/>
                <w:color w:val="000000"/>
                <w:sz w:val="18"/>
                <w:szCs w:val="18"/>
              </w:rPr>
              <w:t>.</w:t>
            </w:r>
            <w:r w:rsidRPr="00BE5E19">
              <w:rPr>
                <w:rFonts w:ascii="Aptos" w:hAnsi="Aptos" w:cs="Calibri"/>
                <w:b/>
                <w:bCs/>
                <w:color w:val="000000"/>
                <w:sz w:val="18"/>
                <w:szCs w:val="18"/>
              </w:rPr>
              <w:t>550</w:t>
            </w:r>
          </w:p>
        </w:tc>
      </w:tr>
      <w:tr w:rsidR="0031446E" w:rsidRPr="00BE5E19" w14:paraId="025886C0" w14:textId="77777777" w:rsidTr="00AB1A9A">
        <w:trPr>
          <w:trHeight w:val="300"/>
        </w:trPr>
        <w:tc>
          <w:tcPr>
            <w:tcW w:w="3348" w:type="dxa"/>
            <w:tcBorders>
              <w:top w:val="single" w:sz="4" w:space="0" w:color="476C2E"/>
              <w:left w:val="single" w:sz="4" w:space="0" w:color="476C2E"/>
              <w:bottom w:val="nil"/>
              <w:right w:val="single" w:sz="4" w:space="0" w:color="476C2E"/>
            </w:tcBorders>
            <w:vAlign w:val="bottom"/>
          </w:tcPr>
          <w:p w14:paraId="51F8AFC0" w14:textId="16CFE1A8" w:rsidR="0031446E" w:rsidRPr="00BE5E19" w:rsidRDefault="0031446E" w:rsidP="0031446E">
            <w:pPr>
              <w:spacing w:after="0" w:line="240" w:lineRule="auto"/>
              <w:rPr>
                <w:rFonts w:ascii="Aptos" w:hAnsi="Aptos" w:cs="Calibri"/>
                <w:b/>
                <w:i/>
                <w:color w:val="000000"/>
                <w:sz w:val="18"/>
                <w:szCs w:val="18"/>
                <w:u w:val="single"/>
                <w:lang w:val="en-GB"/>
              </w:rPr>
            </w:pPr>
            <w:r w:rsidRPr="00FC6E57">
              <w:rPr>
                <w:rFonts w:cs="Calibri"/>
                <w:b/>
                <w:i/>
                <w:color w:val="000000"/>
                <w:sz w:val="18"/>
                <w:szCs w:val="18"/>
                <w:u w:val="single"/>
              </w:rPr>
              <w:t>Προσαρμογές για:</w:t>
            </w:r>
          </w:p>
        </w:tc>
        <w:tc>
          <w:tcPr>
            <w:tcW w:w="888" w:type="dxa"/>
            <w:tcBorders>
              <w:top w:val="single" w:sz="4" w:space="0" w:color="476C2E"/>
              <w:left w:val="single" w:sz="4" w:space="0" w:color="476C2E"/>
              <w:bottom w:val="nil"/>
              <w:right w:val="nil"/>
            </w:tcBorders>
            <w:noWrap/>
            <w:vAlign w:val="center"/>
          </w:tcPr>
          <w:p w14:paraId="4C7B3AFB" w14:textId="77777777" w:rsidR="0031446E" w:rsidRPr="00BE5E19" w:rsidRDefault="0031446E" w:rsidP="0031446E">
            <w:pPr>
              <w:spacing w:after="0" w:line="240" w:lineRule="auto"/>
              <w:jc w:val="right"/>
              <w:rPr>
                <w:rFonts w:ascii="Aptos" w:hAnsi="Aptos" w:cs="Calibri"/>
                <w:b/>
                <w:bCs/>
                <w:color w:val="000000"/>
                <w:sz w:val="18"/>
                <w:szCs w:val="18"/>
                <w:lang w:val="en-GB"/>
              </w:rPr>
            </w:pPr>
          </w:p>
        </w:tc>
        <w:tc>
          <w:tcPr>
            <w:tcW w:w="889" w:type="dxa"/>
            <w:tcBorders>
              <w:top w:val="single" w:sz="4" w:space="0" w:color="476C2E"/>
              <w:left w:val="nil"/>
              <w:bottom w:val="nil"/>
              <w:right w:val="single" w:sz="4" w:space="0" w:color="476C2E"/>
            </w:tcBorders>
            <w:noWrap/>
            <w:vAlign w:val="center"/>
          </w:tcPr>
          <w:p w14:paraId="2E928E0B"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single" w:sz="4" w:space="0" w:color="476C2E"/>
              <w:bottom w:val="nil"/>
              <w:right w:val="nil"/>
            </w:tcBorders>
            <w:noWrap/>
            <w:vAlign w:val="center"/>
          </w:tcPr>
          <w:p w14:paraId="47601430"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4BF34742" w14:textId="77777777" w:rsidR="0031446E" w:rsidRPr="00BE5E19" w:rsidRDefault="0031446E" w:rsidP="0031446E">
            <w:pPr>
              <w:spacing w:after="0" w:line="240" w:lineRule="auto"/>
              <w:jc w:val="right"/>
              <w:rPr>
                <w:rFonts w:ascii="Aptos" w:hAnsi="Aptos"/>
                <w:sz w:val="20"/>
                <w:szCs w:val="20"/>
                <w:lang w:val="en-GB"/>
              </w:rPr>
            </w:pPr>
          </w:p>
        </w:tc>
        <w:tc>
          <w:tcPr>
            <w:tcW w:w="888" w:type="dxa"/>
            <w:tcBorders>
              <w:top w:val="single" w:sz="4" w:space="0" w:color="476C2E"/>
              <w:left w:val="single" w:sz="4" w:space="0" w:color="476C2E"/>
              <w:bottom w:val="nil"/>
              <w:right w:val="nil"/>
            </w:tcBorders>
            <w:noWrap/>
            <w:vAlign w:val="center"/>
          </w:tcPr>
          <w:p w14:paraId="4F01964D"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0AEFF453"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single" w:sz="4" w:space="0" w:color="476C2E"/>
              <w:bottom w:val="nil"/>
              <w:right w:val="nil"/>
            </w:tcBorders>
            <w:noWrap/>
            <w:vAlign w:val="center"/>
          </w:tcPr>
          <w:p w14:paraId="327CBA4B"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7603942D" w14:textId="77777777" w:rsidR="0031446E" w:rsidRPr="00BE5E19" w:rsidRDefault="0031446E" w:rsidP="0031446E">
            <w:pPr>
              <w:spacing w:after="0" w:line="240" w:lineRule="auto"/>
              <w:jc w:val="right"/>
              <w:rPr>
                <w:rFonts w:ascii="Aptos" w:hAnsi="Aptos"/>
                <w:sz w:val="20"/>
                <w:szCs w:val="20"/>
                <w:lang w:val="en-GB"/>
              </w:rPr>
            </w:pPr>
          </w:p>
        </w:tc>
      </w:tr>
      <w:tr w:rsidR="0031446E" w:rsidRPr="00BE5E19" w14:paraId="6DBA009E" w14:textId="77777777" w:rsidTr="00AB1A9A">
        <w:trPr>
          <w:trHeight w:val="300"/>
        </w:trPr>
        <w:tc>
          <w:tcPr>
            <w:tcW w:w="3348" w:type="dxa"/>
            <w:tcBorders>
              <w:top w:val="nil"/>
              <w:left w:val="single" w:sz="4" w:space="0" w:color="476C2E"/>
              <w:bottom w:val="nil"/>
              <w:right w:val="single" w:sz="4" w:space="0" w:color="476C2E"/>
            </w:tcBorders>
            <w:vAlign w:val="bottom"/>
          </w:tcPr>
          <w:p w14:paraId="193625BB" w14:textId="58719628" w:rsidR="0031446E" w:rsidRPr="00BE5E19" w:rsidRDefault="0031446E" w:rsidP="0031446E">
            <w:pPr>
              <w:spacing w:after="0" w:line="240" w:lineRule="auto"/>
              <w:rPr>
                <w:rFonts w:ascii="Aptos" w:eastAsia="Times New Roman" w:hAnsi="Aptos" w:cs="Arial"/>
                <w:b/>
                <w:bCs/>
                <w:color w:val="000000"/>
                <w:sz w:val="18"/>
                <w:szCs w:val="18"/>
                <w:lang w:val="en-GB"/>
              </w:rPr>
            </w:pPr>
            <w:r w:rsidRPr="006C0543">
              <w:rPr>
                <w:color w:val="000000"/>
                <w:sz w:val="18"/>
              </w:rPr>
              <w:t>Καθαρά χρηματοοικονομικά έξοδα</w:t>
            </w:r>
          </w:p>
        </w:tc>
        <w:tc>
          <w:tcPr>
            <w:tcW w:w="888" w:type="dxa"/>
            <w:tcBorders>
              <w:top w:val="nil"/>
              <w:left w:val="single" w:sz="4" w:space="0" w:color="476C2E"/>
              <w:bottom w:val="nil"/>
              <w:right w:val="nil"/>
            </w:tcBorders>
            <w:noWrap/>
            <w:vAlign w:val="center"/>
          </w:tcPr>
          <w:p w14:paraId="4D523055" w14:textId="4B0E8243"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20</w:t>
            </w:r>
            <w:r>
              <w:rPr>
                <w:rFonts w:ascii="Aptos" w:hAnsi="Aptos" w:cs="Calibri"/>
                <w:color w:val="000000"/>
                <w:sz w:val="18"/>
                <w:szCs w:val="18"/>
              </w:rPr>
              <w:t>.</w:t>
            </w:r>
            <w:r w:rsidRPr="00BE5E19">
              <w:rPr>
                <w:rFonts w:ascii="Aptos" w:hAnsi="Aptos" w:cs="Calibri"/>
                <w:color w:val="000000"/>
                <w:sz w:val="18"/>
                <w:szCs w:val="18"/>
              </w:rPr>
              <w:t>832</w:t>
            </w:r>
          </w:p>
        </w:tc>
        <w:tc>
          <w:tcPr>
            <w:tcW w:w="889" w:type="dxa"/>
            <w:tcBorders>
              <w:top w:val="nil"/>
              <w:left w:val="nil"/>
              <w:bottom w:val="nil"/>
              <w:right w:val="single" w:sz="4" w:space="0" w:color="476C2E"/>
            </w:tcBorders>
            <w:noWrap/>
            <w:vAlign w:val="center"/>
          </w:tcPr>
          <w:p w14:paraId="6514FC9A" w14:textId="50EFAF71"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20</w:t>
            </w:r>
            <w:r>
              <w:rPr>
                <w:rFonts w:ascii="Aptos" w:hAnsi="Aptos" w:cs="Calibri"/>
                <w:color w:val="000000"/>
                <w:sz w:val="18"/>
                <w:szCs w:val="18"/>
              </w:rPr>
              <w:t>.</w:t>
            </w:r>
            <w:r w:rsidRPr="00BE5E19">
              <w:rPr>
                <w:rFonts w:ascii="Aptos" w:hAnsi="Aptos" w:cs="Calibri"/>
                <w:color w:val="000000"/>
                <w:sz w:val="18"/>
                <w:szCs w:val="18"/>
              </w:rPr>
              <w:t>340</w:t>
            </w:r>
          </w:p>
        </w:tc>
        <w:tc>
          <w:tcPr>
            <w:tcW w:w="889" w:type="dxa"/>
            <w:tcBorders>
              <w:top w:val="nil"/>
              <w:left w:val="single" w:sz="4" w:space="0" w:color="476C2E"/>
              <w:bottom w:val="nil"/>
              <w:right w:val="nil"/>
            </w:tcBorders>
            <w:noWrap/>
            <w:vAlign w:val="center"/>
          </w:tcPr>
          <w:p w14:paraId="712B83F9" w14:textId="159E4ED1"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4</w:t>
            </w:r>
            <w:r>
              <w:rPr>
                <w:rFonts w:ascii="Aptos" w:hAnsi="Aptos" w:cs="Calibri"/>
                <w:color w:val="000000"/>
                <w:sz w:val="18"/>
                <w:szCs w:val="18"/>
              </w:rPr>
              <w:t>.</w:t>
            </w:r>
            <w:r w:rsidRPr="00BE5E19">
              <w:rPr>
                <w:rFonts w:ascii="Aptos" w:hAnsi="Aptos" w:cs="Calibri"/>
                <w:color w:val="000000"/>
                <w:sz w:val="18"/>
                <w:szCs w:val="18"/>
              </w:rPr>
              <w:t>263</w:t>
            </w:r>
          </w:p>
        </w:tc>
        <w:tc>
          <w:tcPr>
            <w:tcW w:w="889" w:type="dxa"/>
            <w:tcBorders>
              <w:top w:val="nil"/>
              <w:left w:val="nil"/>
              <w:bottom w:val="nil"/>
              <w:right w:val="single" w:sz="4" w:space="0" w:color="476C2E"/>
            </w:tcBorders>
            <w:noWrap/>
            <w:vAlign w:val="center"/>
          </w:tcPr>
          <w:p w14:paraId="2D72D41B" w14:textId="3162B6C2"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5</w:t>
            </w:r>
            <w:r>
              <w:rPr>
                <w:rFonts w:ascii="Aptos" w:hAnsi="Aptos" w:cs="Calibri"/>
                <w:color w:val="000000"/>
                <w:sz w:val="18"/>
                <w:szCs w:val="18"/>
              </w:rPr>
              <w:t>.</w:t>
            </w:r>
            <w:r w:rsidRPr="00BE5E19">
              <w:rPr>
                <w:rFonts w:ascii="Aptos" w:hAnsi="Aptos" w:cs="Calibri"/>
                <w:color w:val="000000"/>
                <w:sz w:val="18"/>
                <w:szCs w:val="18"/>
              </w:rPr>
              <w:t>009</w:t>
            </w:r>
          </w:p>
        </w:tc>
        <w:tc>
          <w:tcPr>
            <w:tcW w:w="888" w:type="dxa"/>
            <w:tcBorders>
              <w:top w:val="nil"/>
              <w:left w:val="single" w:sz="4" w:space="0" w:color="476C2E"/>
              <w:bottom w:val="nil"/>
              <w:right w:val="nil"/>
            </w:tcBorders>
            <w:noWrap/>
            <w:vAlign w:val="center"/>
          </w:tcPr>
          <w:p w14:paraId="293FD1F9" w14:textId="2043E28E"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(3</w:t>
            </w:r>
            <w:r>
              <w:rPr>
                <w:rFonts w:ascii="Aptos" w:hAnsi="Aptos" w:cs="Calibri"/>
                <w:color w:val="000000"/>
                <w:sz w:val="18"/>
                <w:szCs w:val="18"/>
              </w:rPr>
              <w:t>.</w:t>
            </w:r>
            <w:r w:rsidRPr="00BE5E19">
              <w:rPr>
                <w:rFonts w:ascii="Aptos" w:hAnsi="Aptos" w:cs="Calibri"/>
                <w:color w:val="000000"/>
                <w:sz w:val="18"/>
                <w:szCs w:val="18"/>
              </w:rPr>
              <w:t>155)</w:t>
            </w:r>
          </w:p>
        </w:tc>
        <w:tc>
          <w:tcPr>
            <w:tcW w:w="889" w:type="dxa"/>
            <w:tcBorders>
              <w:top w:val="nil"/>
              <w:left w:val="nil"/>
              <w:bottom w:val="nil"/>
              <w:right w:val="single" w:sz="4" w:space="0" w:color="476C2E"/>
            </w:tcBorders>
            <w:noWrap/>
            <w:vAlign w:val="center"/>
          </w:tcPr>
          <w:p w14:paraId="1066FFD9" w14:textId="006F2368"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3</w:t>
            </w:r>
            <w:r>
              <w:rPr>
                <w:rFonts w:ascii="Aptos" w:hAnsi="Aptos" w:cs="Calibri"/>
                <w:color w:val="000000"/>
                <w:sz w:val="18"/>
                <w:szCs w:val="18"/>
              </w:rPr>
              <w:t>.</w:t>
            </w:r>
            <w:r w:rsidRPr="00BE5E19">
              <w:rPr>
                <w:rFonts w:ascii="Aptos" w:hAnsi="Aptos" w:cs="Calibri"/>
                <w:color w:val="000000"/>
                <w:sz w:val="18"/>
                <w:szCs w:val="18"/>
              </w:rPr>
              <w:t>951</w:t>
            </w:r>
          </w:p>
        </w:tc>
        <w:tc>
          <w:tcPr>
            <w:tcW w:w="889" w:type="dxa"/>
            <w:tcBorders>
              <w:top w:val="nil"/>
              <w:left w:val="single" w:sz="4" w:space="0" w:color="476C2E"/>
              <w:bottom w:val="nil"/>
              <w:right w:val="nil"/>
            </w:tcBorders>
            <w:noWrap/>
            <w:vAlign w:val="center"/>
          </w:tcPr>
          <w:p w14:paraId="5A71D8C2" w14:textId="6FD56A18"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21</w:t>
            </w:r>
            <w:r>
              <w:rPr>
                <w:rFonts w:ascii="Aptos" w:hAnsi="Aptos" w:cs="Calibri"/>
                <w:color w:val="000000"/>
                <w:sz w:val="18"/>
                <w:szCs w:val="18"/>
              </w:rPr>
              <w:t>.</w:t>
            </w:r>
            <w:r w:rsidRPr="00BE5E19">
              <w:rPr>
                <w:rFonts w:ascii="Aptos" w:hAnsi="Aptos" w:cs="Calibri"/>
                <w:color w:val="000000"/>
                <w:sz w:val="18"/>
                <w:szCs w:val="18"/>
              </w:rPr>
              <w:t>940</w:t>
            </w:r>
          </w:p>
        </w:tc>
        <w:tc>
          <w:tcPr>
            <w:tcW w:w="889" w:type="dxa"/>
            <w:tcBorders>
              <w:top w:val="nil"/>
              <w:left w:val="nil"/>
              <w:bottom w:val="nil"/>
              <w:right w:val="single" w:sz="4" w:space="0" w:color="476C2E"/>
            </w:tcBorders>
            <w:noWrap/>
            <w:vAlign w:val="center"/>
          </w:tcPr>
          <w:p w14:paraId="5C957BC4" w14:textId="4B4B4669"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29</w:t>
            </w:r>
            <w:r>
              <w:rPr>
                <w:rFonts w:ascii="Aptos" w:hAnsi="Aptos" w:cs="Calibri"/>
                <w:color w:val="000000"/>
                <w:sz w:val="18"/>
                <w:szCs w:val="18"/>
              </w:rPr>
              <w:t>.</w:t>
            </w:r>
            <w:r w:rsidRPr="00BE5E19">
              <w:rPr>
                <w:rFonts w:ascii="Aptos" w:hAnsi="Aptos" w:cs="Calibri"/>
                <w:color w:val="000000"/>
                <w:sz w:val="18"/>
                <w:szCs w:val="18"/>
              </w:rPr>
              <w:t>300</w:t>
            </w:r>
          </w:p>
        </w:tc>
      </w:tr>
      <w:tr w:rsidR="0031446E" w:rsidRPr="00BE5E19" w14:paraId="64E98A3F" w14:textId="77777777" w:rsidTr="00AB1A9A">
        <w:trPr>
          <w:trHeight w:val="300"/>
        </w:trPr>
        <w:tc>
          <w:tcPr>
            <w:tcW w:w="3348" w:type="dxa"/>
            <w:tcBorders>
              <w:top w:val="single" w:sz="4" w:space="0" w:color="476C2E"/>
              <w:left w:val="single" w:sz="4" w:space="0" w:color="476C2E"/>
              <w:bottom w:val="single" w:sz="4" w:space="0" w:color="476C2E"/>
              <w:right w:val="single" w:sz="4" w:space="0" w:color="476C2E"/>
            </w:tcBorders>
            <w:shd w:val="clear" w:color="auto" w:fill="E2EFD9"/>
            <w:vAlign w:val="bottom"/>
          </w:tcPr>
          <w:p w14:paraId="13B69541" w14:textId="751B3EBB" w:rsidR="0031446E" w:rsidRPr="00BE5E19" w:rsidRDefault="0031446E" w:rsidP="0031446E">
            <w:pPr>
              <w:spacing w:after="0" w:line="240" w:lineRule="auto"/>
              <w:rPr>
                <w:rFonts w:ascii="Aptos" w:eastAsia="Times New Roman" w:hAnsi="Aptos" w:cs="Arial"/>
                <w:b/>
                <w:bCs/>
                <w:color w:val="000000"/>
                <w:sz w:val="18"/>
                <w:szCs w:val="18"/>
                <w:lang w:val="en-GB"/>
              </w:rPr>
            </w:pPr>
            <w:r w:rsidRPr="008414D9">
              <w:rPr>
                <w:rFonts w:cs="Calibri"/>
                <w:b/>
                <w:bCs/>
                <w:color w:val="000000"/>
                <w:sz w:val="18"/>
                <w:szCs w:val="18"/>
                <w:lang w:val="en-GB"/>
              </w:rPr>
              <w:t>EBIT</w:t>
            </w:r>
          </w:p>
        </w:tc>
        <w:tc>
          <w:tcPr>
            <w:tcW w:w="888" w:type="dxa"/>
            <w:tcBorders>
              <w:top w:val="single" w:sz="4" w:space="0" w:color="476C2E"/>
              <w:left w:val="single" w:sz="4" w:space="0" w:color="476C2E"/>
              <w:bottom w:val="single" w:sz="4" w:space="0" w:color="476C2E"/>
              <w:right w:val="nil"/>
            </w:tcBorders>
            <w:shd w:val="clear" w:color="auto" w:fill="E2EFD9"/>
            <w:noWrap/>
            <w:vAlign w:val="center"/>
          </w:tcPr>
          <w:p w14:paraId="5E8888CC" w14:textId="793BEC28"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154</w:t>
            </w:r>
            <w:r>
              <w:rPr>
                <w:rFonts w:ascii="Aptos" w:hAnsi="Aptos" w:cs="Calibri"/>
                <w:b/>
                <w:bCs/>
                <w:color w:val="000000"/>
                <w:sz w:val="18"/>
                <w:szCs w:val="18"/>
              </w:rPr>
              <w:t>.</w:t>
            </w:r>
            <w:r w:rsidRPr="00BE5E19">
              <w:rPr>
                <w:rFonts w:ascii="Aptos" w:hAnsi="Aptos" w:cs="Calibri"/>
                <w:b/>
                <w:bCs/>
                <w:color w:val="000000"/>
                <w:sz w:val="18"/>
                <w:szCs w:val="18"/>
              </w:rPr>
              <w:t>121</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36F4DE11" w14:textId="717032DE"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108</w:t>
            </w:r>
            <w:r>
              <w:rPr>
                <w:rFonts w:ascii="Aptos" w:hAnsi="Aptos" w:cs="Calibri"/>
                <w:b/>
                <w:bCs/>
                <w:color w:val="000000"/>
                <w:sz w:val="18"/>
                <w:szCs w:val="18"/>
              </w:rPr>
              <w:t>.</w:t>
            </w:r>
            <w:r w:rsidRPr="00BE5E19">
              <w:rPr>
                <w:rFonts w:ascii="Aptos" w:hAnsi="Aptos" w:cs="Calibri"/>
                <w:b/>
                <w:bCs/>
                <w:color w:val="000000"/>
                <w:sz w:val="18"/>
                <w:szCs w:val="18"/>
              </w:rPr>
              <w:t>185</w:t>
            </w:r>
          </w:p>
        </w:tc>
        <w:tc>
          <w:tcPr>
            <w:tcW w:w="889" w:type="dxa"/>
            <w:tcBorders>
              <w:top w:val="single" w:sz="4" w:space="0" w:color="476C2E"/>
              <w:left w:val="single" w:sz="4" w:space="0" w:color="476C2E"/>
              <w:bottom w:val="single" w:sz="4" w:space="0" w:color="476C2E"/>
              <w:right w:val="nil"/>
            </w:tcBorders>
            <w:shd w:val="clear" w:color="auto" w:fill="E2EFD9"/>
            <w:noWrap/>
            <w:vAlign w:val="center"/>
          </w:tcPr>
          <w:p w14:paraId="6AF7F17D" w14:textId="0EA7E55C"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371</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44F834E8" w14:textId="2140ADDC"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198</w:t>
            </w:r>
          </w:p>
        </w:tc>
        <w:tc>
          <w:tcPr>
            <w:tcW w:w="888" w:type="dxa"/>
            <w:tcBorders>
              <w:top w:val="single" w:sz="4" w:space="0" w:color="476C2E"/>
              <w:left w:val="single" w:sz="4" w:space="0" w:color="476C2E"/>
              <w:bottom w:val="single" w:sz="4" w:space="0" w:color="476C2E"/>
              <w:right w:val="nil"/>
            </w:tcBorders>
            <w:shd w:val="clear" w:color="auto" w:fill="E2EFD9"/>
            <w:noWrap/>
            <w:vAlign w:val="center"/>
          </w:tcPr>
          <w:p w14:paraId="011282B9" w14:textId="4B2E0BE8"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(547)</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3E2DAFE6" w14:textId="45121736"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(533)</w:t>
            </w:r>
          </w:p>
        </w:tc>
        <w:tc>
          <w:tcPr>
            <w:tcW w:w="889" w:type="dxa"/>
            <w:tcBorders>
              <w:top w:val="single" w:sz="4" w:space="0" w:color="476C2E"/>
              <w:left w:val="single" w:sz="4" w:space="0" w:color="476C2E"/>
              <w:bottom w:val="single" w:sz="4" w:space="0" w:color="476C2E"/>
              <w:right w:val="nil"/>
            </w:tcBorders>
            <w:shd w:val="clear" w:color="auto" w:fill="E2EFD9"/>
            <w:noWrap/>
            <w:vAlign w:val="center"/>
          </w:tcPr>
          <w:p w14:paraId="79C1E956" w14:textId="5A8B4234"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198</w:t>
            </w:r>
            <w:r>
              <w:rPr>
                <w:rFonts w:ascii="Aptos" w:hAnsi="Aptos" w:cs="Calibri"/>
                <w:b/>
                <w:bCs/>
                <w:color w:val="000000"/>
                <w:sz w:val="18"/>
                <w:szCs w:val="18"/>
              </w:rPr>
              <w:t>.</w:t>
            </w:r>
            <w:r w:rsidRPr="00BE5E19">
              <w:rPr>
                <w:rFonts w:ascii="Aptos" w:hAnsi="Aptos" w:cs="Calibri"/>
                <w:b/>
                <w:bCs/>
                <w:color w:val="000000"/>
                <w:sz w:val="18"/>
                <w:szCs w:val="18"/>
              </w:rPr>
              <w:t>945</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1F218B4B" w14:textId="1F9883CE"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152</w:t>
            </w:r>
            <w:r>
              <w:rPr>
                <w:rFonts w:ascii="Aptos" w:hAnsi="Aptos" w:cs="Calibri"/>
                <w:b/>
                <w:bCs/>
                <w:color w:val="000000"/>
                <w:sz w:val="18"/>
                <w:szCs w:val="18"/>
              </w:rPr>
              <w:t>.</w:t>
            </w:r>
            <w:r w:rsidRPr="00BE5E19">
              <w:rPr>
                <w:rFonts w:ascii="Aptos" w:hAnsi="Aptos" w:cs="Calibri"/>
                <w:b/>
                <w:bCs/>
                <w:color w:val="000000"/>
                <w:sz w:val="18"/>
                <w:szCs w:val="18"/>
              </w:rPr>
              <w:t>850</w:t>
            </w:r>
          </w:p>
        </w:tc>
      </w:tr>
      <w:tr w:rsidR="0031446E" w:rsidRPr="00BE5E19" w14:paraId="7B23FF9F" w14:textId="77777777" w:rsidTr="00AB1A9A">
        <w:trPr>
          <w:trHeight w:val="300"/>
        </w:trPr>
        <w:tc>
          <w:tcPr>
            <w:tcW w:w="3348" w:type="dxa"/>
            <w:tcBorders>
              <w:top w:val="single" w:sz="4" w:space="0" w:color="476C2E"/>
              <w:left w:val="single" w:sz="4" w:space="0" w:color="476C2E"/>
              <w:bottom w:val="nil"/>
              <w:right w:val="single" w:sz="4" w:space="0" w:color="476C2E"/>
            </w:tcBorders>
            <w:vAlign w:val="bottom"/>
          </w:tcPr>
          <w:p w14:paraId="6E697018" w14:textId="5FF8B89E" w:rsidR="0031446E" w:rsidRPr="00BE5E19" w:rsidRDefault="0031446E" w:rsidP="0031446E">
            <w:pPr>
              <w:spacing w:after="0" w:line="240" w:lineRule="auto"/>
              <w:rPr>
                <w:rFonts w:ascii="Aptos" w:hAnsi="Aptos" w:cs="Calibri"/>
                <w:b/>
                <w:i/>
                <w:color w:val="000000"/>
                <w:sz w:val="18"/>
                <w:szCs w:val="18"/>
                <w:u w:val="single"/>
                <w:lang w:val="en-GB"/>
              </w:rPr>
            </w:pPr>
            <w:r w:rsidRPr="00FC6E57">
              <w:rPr>
                <w:rFonts w:cs="Calibri"/>
                <w:b/>
                <w:i/>
                <w:color w:val="000000"/>
                <w:sz w:val="18"/>
                <w:szCs w:val="18"/>
                <w:u w:val="single"/>
              </w:rPr>
              <w:t>Επανενσωμάτωση:</w:t>
            </w:r>
          </w:p>
        </w:tc>
        <w:tc>
          <w:tcPr>
            <w:tcW w:w="888" w:type="dxa"/>
            <w:tcBorders>
              <w:top w:val="single" w:sz="4" w:space="0" w:color="476C2E"/>
              <w:left w:val="single" w:sz="4" w:space="0" w:color="476C2E"/>
              <w:bottom w:val="nil"/>
              <w:right w:val="nil"/>
            </w:tcBorders>
            <w:noWrap/>
            <w:vAlign w:val="center"/>
          </w:tcPr>
          <w:p w14:paraId="5DFE476C" w14:textId="77777777" w:rsidR="0031446E" w:rsidRPr="00BE5E19" w:rsidRDefault="0031446E" w:rsidP="0031446E">
            <w:pPr>
              <w:spacing w:after="0" w:line="240" w:lineRule="auto"/>
              <w:jc w:val="right"/>
              <w:rPr>
                <w:rFonts w:ascii="Aptos" w:hAnsi="Aptos" w:cs="Calibri"/>
                <w:b/>
                <w:bCs/>
                <w:color w:val="000000"/>
                <w:sz w:val="18"/>
                <w:szCs w:val="18"/>
                <w:lang w:val="en-GB"/>
              </w:rPr>
            </w:pPr>
          </w:p>
        </w:tc>
        <w:tc>
          <w:tcPr>
            <w:tcW w:w="889" w:type="dxa"/>
            <w:tcBorders>
              <w:top w:val="single" w:sz="4" w:space="0" w:color="476C2E"/>
              <w:left w:val="nil"/>
              <w:bottom w:val="nil"/>
              <w:right w:val="single" w:sz="4" w:space="0" w:color="476C2E"/>
            </w:tcBorders>
            <w:noWrap/>
            <w:vAlign w:val="center"/>
          </w:tcPr>
          <w:p w14:paraId="7F06DA10"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single" w:sz="4" w:space="0" w:color="476C2E"/>
              <w:bottom w:val="nil"/>
              <w:right w:val="nil"/>
            </w:tcBorders>
            <w:noWrap/>
            <w:vAlign w:val="center"/>
          </w:tcPr>
          <w:p w14:paraId="44E8A43A"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2BF12E32" w14:textId="77777777" w:rsidR="0031446E" w:rsidRPr="00BE5E19" w:rsidRDefault="0031446E" w:rsidP="0031446E">
            <w:pPr>
              <w:spacing w:after="0" w:line="240" w:lineRule="auto"/>
              <w:jc w:val="right"/>
              <w:rPr>
                <w:rFonts w:ascii="Aptos" w:hAnsi="Aptos"/>
                <w:sz w:val="20"/>
                <w:szCs w:val="20"/>
                <w:lang w:val="en-GB"/>
              </w:rPr>
            </w:pPr>
          </w:p>
        </w:tc>
        <w:tc>
          <w:tcPr>
            <w:tcW w:w="888" w:type="dxa"/>
            <w:tcBorders>
              <w:top w:val="single" w:sz="4" w:space="0" w:color="476C2E"/>
              <w:left w:val="single" w:sz="4" w:space="0" w:color="476C2E"/>
              <w:bottom w:val="nil"/>
              <w:right w:val="nil"/>
            </w:tcBorders>
            <w:noWrap/>
            <w:vAlign w:val="center"/>
          </w:tcPr>
          <w:p w14:paraId="5E8607EF"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56EB3882"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single" w:sz="4" w:space="0" w:color="476C2E"/>
              <w:bottom w:val="nil"/>
              <w:right w:val="nil"/>
            </w:tcBorders>
            <w:noWrap/>
            <w:vAlign w:val="center"/>
          </w:tcPr>
          <w:p w14:paraId="18E3C785" w14:textId="77777777" w:rsidR="0031446E" w:rsidRPr="00BE5E19" w:rsidRDefault="0031446E" w:rsidP="0031446E">
            <w:pPr>
              <w:spacing w:after="0" w:line="240" w:lineRule="auto"/>
              <w:jc w:val="right"/>
              <w:rPr>
                <w:rFonts w:ascii="Aptos" w:hAnsi="Aptos"/>
                <w:sz w:val="20"/>
                <w:szCs w:val="20"/>
                <w:lang w:val="en-GB"/>
              </w:rPr>
            </w:pPr>
          </w:p>
        </w:tc>
        <w:tc>
          <w:tcPr>
            <w:tcW w:w="889" w:type="dxa"/>
            <w:tcBorders>
              <w:top w:val="single" w:sz="4" w:space="0" w:color="476C2E"/>
              <w:left w:val="nil"/>
              <w:bottom w:val="nil"/>
              <w:right w:val="single" w:sz="4" w:space="0" w:color="476C2E"/>
            </w:tcBorders>
            <w:noWrap/>
            <w:vAlign w:val="center"/>
          </w:tcPr>
          <w:p w14:paraId="7569E931" w14:textId="77777777" w:rsidR="0031446E" w:rsidRPr="00BE5E19" w:rsidRDefault="0031446E" w:rsidP="0031446E">
            <w:pPr>
              <w:spacing w:after="0" w:line="240" w:lineRule="auto"/>
              <w:jc w:val="right"/>
              <w:rPr>
                <w:rFonts w:ascii="Aptos" w:hAnsi="Aptos"/>
                <w:sz w:val="20"/>
                <w:szCs w:val="20"/>
                <w:lang w:val="en-GB"/>
              </w:rPr>
            </w:pPr>
          </w:p>
        </w:tc>
      </w:tr>
      <w:tr w:rsidR="0031446E" w:rsidRPr="00BE5E19" w14:paraId="1AFBE79D" w14:textId="77777777" w:rsidTr="00AB1A9A">
        <w:trPr>
          <w:trHeight w:val="300"/>
        </w:trPr>
        <w:tc>
          <w:tcPr>
            <w:tcW w:w="3348" w:type="dxa"/>
            <w:tcBorders>
              <w:top w:val="nil"/>
              <w:left w:val="single" w:sz="4" w:space="0" w:color="476C2E"/>
              <w:bottom w:val="nil"/>
              <w:right w:val="single" w:sz="4" w:space="0" w:color="476C2E"/>
            </w:tcBorders>
            <w:vAlign w:val="bottom"/>
            <w:hideMark/>
          </w:tcPr>
          <w:p w14:paraId="2F127CA9" w14:textId="270F471E" w:rsidR="0031446E" w:rsidRPr="00BE5E19" w:rsidRDefault="0031446E" w:rsidP="0031446E">
            <w:pPr>
              <w:spacing w:after="0" w:line="240" w:lineRule="auto"/>
              <w:rPr>
                <w:rFonts w:ascii="Aptos" w:eastAsia="Times New Roman" w:hAnsi="Aptos" w:cs="Arial"/>
                <w:b/>
                <w:bCs/>
                <w:color w:val="000000"/>
                <w:sz w:val="18"/>
                <w:szCs w:val="18"/>
                <w:lang w:val="en-GB"/>
              </w:rPr>
            </w:pPr>
            <w:r w:rsidRPr="00FC6E57">
              <w:rPr>
                <w:rFonts w:cs="Calibri"/>
                <w:color w:val="000000"/>
                <w:sz w:val="18"/>
                <w:szCs w:val="18"/>
              </w:rPr>
              <w:t>Αποσβέσεις</w:t>
            </w:r>
          </w:p>
        </w:tc>
        <w:tc>
          <w:tcPr>
            <w:tcW w:w="888" w:type="dxa"/>
            <w:tcBorders>
              <w:top w:val="nil"/>
              <w:left w:val="single" w:sz="4" w:space="0" w:color="476C2E"/>
              <w:bottom w:val="nil"/>
              <w:right w:val="nil"/>
            </w:tcBorders>
            <w:noWrap/>
            <w:vAlign w:val="center"/>
          </w:tcPr>
          <w:p w14:paraId="734529A5" w14:textId="449589D6"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17</w:t>
            </w:r>
            <w:r>
              <w:rPr>
                <w:rFonts w:ascii="Aptos" w:hAnsi="Aptos" w:cs="Calibri"/>
                <w:color w:val="000000"/>
                <w:sz w:val="18"/>
                <w:szCs w:val="18"/>
              </w:rPr>
              <w:t>.</w:t>
            </w:r>
            <w:r w:rsidRPr="00BE5E19">
              <w:rPr>
                <w:rFonts w:ascii="Aptos" w:hAnsi="Aptos" w:cs="Calibri"/>
                <w:color w:val="000000"/>
                <w:sz w:val="18"/>
                <w:szCs w:val="18"/>
              </w:rPr>
              <w:t>379</w:t>
            </w:r>
          </w:p>
        </w:tc>
        <w:tc>
          <w:tcPr>
            <w:tcW w:w="889" w:type="dxa"/>
            <w:tcBorders>
              <w:top w:val="nil"/>
              <w:left w:val="nil"/>
              <w:bottom w:val="nil"/>
              <w:right w:val="single" w:sz="4" w:space="0" w:color="476C2E"/>
            </w:tcBorders>
            <w:noWrap/>
            <w:vAlign w:val="center"/>
          </w:tcPr>
          <w:p w14:paraId="3F5B9F5E" w14:textId="0DB94B80"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12</w:t>
            </w:r>
            <w:r>
              <w:rPr>
                <w:rFonts w:ascii="Aptos" w:hAnsi="Aptos" w:cs="Calibri"/>
                <w:color w:val="000000"/>
                <w:sz w:val="18"/>
                <w:szCs w:val="18"/>
              </w:rPr>
              <w:t>.</w:t>
            </w:r>
            <w:r w:rsidRPr="00BE5E19">
              <w:rPr>
                <w:rFonts w:ascii="Aptos" w:hAnsi="Aptos" w:cs="Calibri"/>
                <w:color w:val="000000"/>
                <w:sz w:val="18"/>
                <w:szCs w:val="18"/>
              </w:rPr>
              <w:t>758</w:t>
            </w:r>
          </w:p>
        </w:tc>
        <w:tc>
          <w:tcPr>
            <w:tcW w:w="889" w:type="dxa"/>
            <w:tcBorders>
              <w:top w:val="nil"/>
              <w:left w:val="single" w:sz="4" w:space="0" w:color="476C2E"/>
              <w:bottom w:val="nil"/>
              <w:right w:val="nil"/>
            </w:tcBorders>
            <w:noWrap/>
            <w:vAlign w:val="center"/>
          </w:tcPr>
          <w:p w14:paraId="38FDBFE0" w14:textId="33875D50"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6</w:t>
            </w:r>
            <w:r>
              <w:rPr>
                <w:rFonts w:ascii="Aptos" w:hAnsi="Aptos" w:cs="Calibri"/>
                <w:color w:val="000000"/>
                <w:sz w:val="18"/>
                <w:szCs w:val="18"/>
              </w:rPr>
              <w:t>.</w:t>
            </w:r>
            <w:r w:rsidRPr="00BE5E19">
              <w:rPr>
                <w:rFonts w:ascii="Aptos" w:hAnsi="Aptos" w:cs="Calibri"/>
                <w:color w:val="000000"/>
                <w:sz w:val="18"/>
                <w:szCs w:val="18"/>
              </w:rPr>
              <w:t>396</w:t>
            </w:r>
          </w:p>
        </w:tc>
        <w:tc>
          <w:tcPr>
            <w:tcW w:w="889" w:type="dxa"/>
            <w:tcBorders>
              <w:top w:val="nil"/>
              <w:left w:val="nil"/>
              <w:bottom w:val="nil"/>
              <w:right w:val="single" w:sz="4" w:space="0" w:color="476C2E"/>
            </w:tcBorders>
            <w:noWrap/>
            <w:vAlign w:val="center"/>
          </w:tcPr>
          <w:p w14:paraId="79B6CF56" w14:textId="35BA937F"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5</w:t>
            </w:r>
            <w:r>
              <w:rPr>
                <w:rFonts w:ascii="Aptos" w:hAnsi="Aptos" w:cs="Calibri"/>
                <w:color w:val="000000"/>
                <w:sz w:val="18"/>
                <w:szCs w:val="18"/>
              </w:rPr>
              <w:t>.</w:t>
            </w:r>
            <w:r w:rsidRPr="00BE5E19">
              <w:rPr>
                <w:rFonts w:ascii="Aptos" w:hAnsi="Aptos" w:cs="Calibri"/>
                <w:color w:val="000000"/>
                <w:sz w:val="18"/>
                <w:szCs w:val="18"/>
              </w:rPr>
              <w:t>634</w:t>
            </w:r>
          </w:p>
        </w:tc>
        <w:tc>
          <w:tcPr>
            <w:tcW w:w="888" w:type="dxa"/>
            <w:tcBorders>
              <w:top w:val="nil"/>
              <w:left w:val="single" w:sz="4" w:space="0" w:color="476C2E"/>
              <w:bottom w:val="nil"/>
              <w:right w:val="nil"/>
            </w:tcBorders>
            <w:noWrap/>
            <w:vAlign w:val="center"/>
          </w:tcPr>
          <w:p w14:paraId="753D03B6" w14:textId="4E8C20B5"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9</w:t>
            </w:r>
          </w:p>
        </w:tc>
        <w:tc>
          <w:tcPr>
            <w:tcW w:w="889" w:type="dxa"/>
            <w:tcBorders>
              <w:top w:val="nil"/>
              <w:left w:val="nil"/>
              <w:bottom w:val="nil"/>
              <w:right w:val="single" w:sz="4" w:space="0" w:color="476C2E"/>
            </w:tcBorders>
            <w:noWrap/>
            <w:vAlign w:val="center"/>
          </w:tcPr>
          <w:p w14:paraId="40C4457E" w14:textId="682A238B"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6</w:t>
            </w:r>
          </w:p>
        </w:tc>
        <w:tc>
          <w:tcPr>
            <w:tcW w:w="889" w:type="dxa"/>
            <w:tcBorders>
              <w:top w:val="nil"/>
              <w:left w:val="single" w:sz="4" w:space="0" w:color="476C2E"/>
              <w:bottom w:val="nil"/>
              <w:right w:val="nil"/>
            </w:tcBorders>
            <w:noWrap/>
            <w:vAlign w:val="center"/>
          </w:tcPr>
          <w:p w14:paraId="44AACDA9" w14:textId="266D64FB"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23</w:t>
            </w:r>
            <w:r>
              <w:rPr>
                <w:rFonts w:ascii="Aptos" w:hAnsi="Aptos" w:cs="Calibri"/>
                <w:color w:val="000000"/>
                <w:sz w:val="18"/>
                <w:szCs w:val="18"/>
              </w:rPr>
              <w:t>.</w:t>
            </w:r>
            <w:r w:rsidRPr="00BE5E19">
              <w:rPr>
                <w:rFonts w:ascii="Aptos" w:hAnsi="Aptos" w:cs="Calibri"/>
                <w:color w:val="000000"/>
                <w:sz w:val="18"/>
                <w:szCs w:val="18"/>
              </w:rPr>
              <w:t>784</w:t>
            </w:r>
          </w:p>
        </w:tc>
        <w:tc>
          <w:tcPr>
            <w:tcW w:w="889" w:type="dxa"/>
            <w:tcBorders>
              <w:top w:val="nil"/>
              <w:left w:val="nil"/>
              <w:bottom w:val="nil"/>
              <w:right w:val="single" w:sz="4" w:space="0" w:color="476C2E"/>
            </w:tcBorders>
            <w:noWrap/>
            <w:vAlign w:val="center"/>
          </w:tcPr>
          <w:p w14:paraId="67A0B2E5" w14:textId="19C908CD" w:rsidR="0031446E" w:rsidRPr="00BE5E19" w:rsidRDefault="0031446E" w:rsidP="0031446E">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18</w:t>
            </w:r>
            <w:r>
              <w:rPr>
                <w:rFonts w:ascii="Aptos" w:hAnsi="Aptos" w:cs="Calibri"/>
                <w:color w:val="000000"/>
                <w:sz w:val="18"/>
                <w:szCs w:val="18"/>
              </w:rPr>
              <w:t>.</w:t>
            </w:r>
            <w:r w:rsidRPr="00BE5E19">
              <w:rPr>
                <w:rFonts w:ascii="Aptos" w:hAnsi="Aptos" w:cs="Calibri"/>
                <w:color w:val="000000"/>
                <w:sz w:val="18"/>
                <w:szCs w:val="18"/>
              </w:rPr>
              <w:t>398</w:t>
            </w:r>
          </w:p>
        </w:tc>
      </w:tr>
      <w:tr w:rsidR="0031446E" w:rsidRPr="00BE5E19" w14:paraId="27A27CA5" w14:textId="77777777" w:rsidTr="00AB1A9A">
        <w:trPr>
          <w:trHeight w:val="300"/>
        </w:trPr>
        <w:tc>
          <w:tcPr>
            <w:tcW w:w="3348" w:type="dxa"/>
            <w:tcBorders>
              <w:top w:val="single" w:sz="4" w:space="0" w:color="476C2E"/>
              <w:left w:val="single" w:sz="4" w:space="0" w:color="476C2E"/>
              <w:bottom w:val="single" w:sz="4" w:space="0" w:color="476C2E"/>
              <w:right w:val="single" w:sz="4" w:space="0" w:color="476C2E"/>
            </w:tcBorders>
            <w:shd w:val="clear" w:color="auto" w:fill="E2EFD9"/>
            <w:vAlign w:val="bottom"/>
            <w:hideMark/>
          </w:tcPr>
          <w:p w14:paraId="4CF14581" w14:textId="6ABFAB91" w:rsidR="0031446E" w:rsidRPr="0031446E" w:rsidRDefault="0031446E" w:rsidP="0031446E">
            <w:pPr>
              <w:spacing w:after="0" w:line="240" w:lineRule="auto"/>
              <w:rPr>
                <w:rFonts w:ascii="Aptos" w:eastAsia="Times New Roman" w:hAnsi="Aptos" w:cs="Arial"/>
                <w:b/>
                <w:bCs/>
                <w:color w:val="000000"/>
                <w:sz w:val="18"/>
                <w:szCs w:val="18"/>
              </w:rPr>
            </w:pPr>
            <w:r w:rsidRPr="00FC6E57">
              <w:rPr>
                <w:rFonts w:cs="Calibri"/>
                <w:b/>
                <w:bCs/>
                <w:color w:val="000000"/>
                <w:sz w:val="18"/>
                <w:szCs w:val="18"/>
              </w:rPr>
              <w:t>Κέρδη προ φόρων, χρηματοδοτικών, επενδυτικών αποτελεσμάτων και αποσβέσεων (EBITDA)</w:t>
            </w:r>
          </w:p>
        </w:tc>
        <w:tc>
          <w:tcPr>
            <w:tcW w:w="888" w:type="dxa"/>
            <w:tcBorders>
              <w:top w:val="single" w:sz="4" w:space="0" w:color="476C2E"/>
              <w:left w:val="single" w:sz="4" w:space="0" w:color="476C2E"/>
              <w:bottom w:val="single" w:sz="4" w:space="0" w:color="476C2E"/>
              <w:right w:val="nil"/>
            </w:tcBorders>
            <w:shd w:val="clear" w:color="auto" w:fill="E2EFD9"/>
            <w:noWrap/>
            <w:vAlign w:val="center"/>
          </w:tcPr>
          <w:p w14:paraId="5F044D0A" w14:textId="1BF834E6"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171</w:t>
            </w:r>
            <w:r>
              <w:rPr>
                <w:rFonts w:ascii="Aptos" w:hAnsi="Aptos" w:cs="Calibri"/>
                <w:b/>
                <w:bCs/>
                <w:color w:val="000000"/>
                <w:sz w:val="18"/>
                <w:szCs w:val="18"/>
              </w:rPr>
              <w:t>.</w:t>
            </w:r>
            <w:r w:rsidRPr="00BE5E19">
              <w:rPr>
                <w:rFonts w:ascii="Aptos" w:hAnsi="Aptos" w:cs="Calibri"/>
                <w:b/>
                <w:bCs/>
                <w:color w:val="000000"/>
                <w:sz w:val="18"/>
                <w:szCs w:val="18"/>
              </w:rPr>
              <w:t>499</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430C570B" w14:textId="38447149"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120</w:t>
            </w:r>
            <w:r>
              <w:rPr>
                <w:rFonts w:ascii="Aptos" w:hAnsi="Aptos" w:cs="Calibri"/>
                <w:b/>
                <w:bCs/>
                <w:color w:val="000000"/>
                <w:sz w:val="18"/>
                <w:szCs w:val="18"/>
              </w:rPr>
              <w:t>.</w:t>
            </w:r>
            <w:r w:rsidRPr="00BE5E19">
              <w:rPr>
                <w:rFonts w:ascii="Aptos" w:hAnsi="Aptos" w:cs="Calibri"/>
                <w:b/>
                <w:bCs/>
                <w:color w:val="000000"/>
                <w:sz w:val="18"/>
                <w:szCs w:val="18"/>
              </w:rPr>
              <w:t>943</w:t>
            </w:r>
          </w:p>
        </w:tc>
        <w:tc>
          <w:tcPr>
            <w:tcW w:w="889" w:type="dxa"/>
            <w:tcBorders>
              <w:top w:val="single" w:sz="4" w:space="0" w:color="476C2E"/>
              <w:left w:val="single" w:sz="4" w:space="0" w:color="476C2E"/>
              <w:bottom w:val="single" w:sz="4" w:space="0" w:color="476C2E"/>
              <w:right w:val="nil"/>
            </w:tcBorders>
            <w:shd w:val="clear" w:color="auto" w:fill="E2EFD9"/>
            <w:noWrap/>
            <w:vAlign w:val="center"/>
          </w:tcPr>
          <w:p w14:paraId="4B7415BD" w14:textId="6A6038CC"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51</w:t>
            </w:r>
            <w:r>
              <w:rPr>
                <w:rFonts w:ascii="Aptos" w:hAnsi="Aptos" w:cs="Calibri"/>
                <w:b/>
                <w:bCs/>
                <w:color w:val="000000"/>
                <w:sz w:val="18"/>
                <w:szCs w:val="18"/>
              </w:rPr>
              <w:t>.</w:t>
            </w:r>
            <w:r w:rsidRPr="00BE5E19">
              <w:rPr>
                <w:rFonts w:ascii="Aptos" w:hAnsi="Aptos" w:cs="Calibri"/>
                <w:b/>
                <w:bCs/>
                <w:color w:val="000000"/>
                <w:sz w:val="18"/>
                <w:szCs w:val="18"/>
              </w:rPr>
              <w:t>768</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3F72DE35" w14:textId="4AFAFE76"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50</w:t>
            </w:r>
            <w:r>
              <w:rPr>
                <w:rFonts w:ascii="Aptos" w:hAnsi="Aptos" w:cs="Calibri"/>
                <w:b/>
                <w:bCs/>
                <w:color w:val="000000"/>
                <w:sz w:val="18"/>
                <w:szCs w:val="18"/>
              </w:rPr>
              <w:t>.</w:t>
            </w:r>
            <w:r w:rsidRPr="00BE5E19">
              <w:rPr>
                <w:rFonts w:ascii="Aptos" w:hAnsi="Aptos" w:cs="Calibri"/>
                <w:b/>
                <w:bCs/>
                <w:color w:val="000000"/>
                <w:sz w:val="18"/>
                <w:szCs w:val="18"/>
              </w:rPr>
              <w:t>832</w:t>
            </w:r>
          </w:p>
        </w:tc>
        <w:tc>
          <w:tcPr>
            <w:tcW w:w="888" w:type="dxa"/>
            <w:tcBorders>
              <w:top w:val="single" w:sz="4" w:space="0" w:color="476C2E"/>
              <w:left w:val="single" w:sz="4" w:space="0" w:color="476C2E"/>
              <w:bottom w:val="single" w:sz="4" w:space="0" w:color="476C2E"/>
              <w:right w:val="nil"/>
            </w:tcBorders>
            <w:shd w:val="clear" w:color="auto" w:fill="E2EFD9"/>
            <w:noWrap/>
            <w:vAlign w:val="center"/>
          </w:tcPr>
          <w:p w14:paraId="34C37C55" w14:textId="7A60CB87"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(538)</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4A85A3FE" w14:textId="66364FB8"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(526)</w:t>
            </w:r>
          </w:p>
        </w:tc>
        <w:tc>
          <w:tcPr>
            <w:tcW w:w="889" w:type="dxa"/>
            <w:tcBorders>
              <w:top w:val="single" w:sz="4" w:space="0" w:color="476C2E"/>
              <w:left w:val="single" w:sz="4" w:space="0" w:color="476C2E"/>
              <w:bottom w:val="single" w:sz="4" w:space="0" w:color="476C2E"/>
              <w:right w:val="nil"/>
            </w:tcBorders>
            <w:shd w:val="clear" w:color="auto" w:fill="E2EFD9"/>
            <w:noWrap/>
            <w:vAlign w:val="center"/>
          </w:tcPr>
          <w:p w14:paraId="03F11C52" w14:textId="7FA891B1"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222</w:t>
            </w:r>
            <w:r>
              <w:rPr>
                <w:rFonts w:ascii="Aptos" w:hAnsi="Aptos" w:cs="Calibri"/>
                <w:b/>
                <w:bCs/>
                <w:color w:val="000000"/>
                <w:sz w:val="18"/>
                <w:szCs w:val="18"/>
              </w:rPr>
              <w:t>.</w:t>
            </w:r>
            <w:r w:rsidRPr="00BE5E19">
              <w:rPr>
                <w:rFonts w:ascii="Aptos" w:hAnsi="Aptos" w:cs="Calibri"/>
                <w:b/>
                <w:bCs/>
                <w:color w:val="000000"/>
                <w:sz w:val="18"/>
                <w:szCs w:val="18"/>
              </w:rPr>
              <w:t>729</w:t>
            </w:r>
          </w:p>
        </w:tc>
        <w:tc>
          <w:tcPr>
            <w:tcW w:w="889" w:type="dxa"/>
            <w:tcBorders>
              <w:top w:val="single" w:sz="4" w:space="0" w:color="476C2E"/>
              <w:left w:val="nil"/>
              <w:bottom w:val="single" w:sz="4" w:space="0" w:color="476C2E"/>
              <w:right w:val="single" w:sz="4" w:space="0" w:color="476C2E"/>
            </w:tcBorders>
            <w:shd w:val="clear" w:color="auto" w:fill="E2EFD9"/>
            <w:noWrap/>
            <w:vAlign w:val="center"/>
          </w:tcPr>
          <w:p w14:paraId="53D82F7C" w14:textId="0F758D7C"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171</w:t>
            </w:r>
            <w:r>
              <w:rPr>
                <w:rFonts w:ascii="Aptos" w:hAnsi="Aptos" w:cs="Calibri"/>
                <w:b/>
                <w:bCs/>
                <w:color w:val="000000"/>
                <w:sz w:val="18"/>
                <w:szCs w:val="18"/>
              </w:rPr>
              <w:t>.</w:t>
            </w:r>
            <w:r w:rsidRPr="00BE5E19">
              <w:rPr>
                <w:rFonts w:ascii="Aptos" w:hAnsi="Aptos" w:cs="Calibri"/>
                <w:b/>
                <w:bCs/>
                <w:color w:val="000000"/>
                <w:sz w:val="18"/>
                <w:szCs w:val="18"/>
              </w:rPr>
              <w:t>248</w:t>
            </w:r>
          </w:p>
        </w:tc>
      </w:tr>
    </w:tbl>
    <w:p w14:paraId="1F947C31" w14:textId="77777777" w:rsidR="00842565" w:rsidRPr="00BE5E19" w:rsidRDefault="00842565" w:rsidP="006B321F">
      <w:pPr>
        <w:spacing w:after="120" w:line="240" w:lineRule="auto"/>
        <w:jc w:val="both"/>
        <w:rPr>
          <w:rFonts w:ascii="Aptos" w:hAnsi="Aptos" w:cs="Calibri"/>
          <w:b/>
          <w:sz w:val="20"/>
          <w:szCs w:val="20"/>
          <w:u w:val="single"/>
          <w:lang w:val="en-GB" w:eastAsia="x-none"/>
        </w:rPr>
      </w:pPr>
    </w:p>
    <w:p w14:paraId="1E6D2AC3" w14:textId="29A82EA7" w:rsidR="00677257" w:rsidRPr="00BE5E19" w:rsidRDefault="0031446E" w:rsidP="006B321F">
      <w:pPr>
        <w:spacing w:after="120" w:line="240" w:lineRule="auto"/>
        <w:jc w:val="both"/>
        <w:rPr>
          <w:rFonts w:ascii="Aptos" w:hAnsi="Aptos" w:cs="Calibri"/>
          <w:b/>
          <w:sz w:val="20"/>
          <w:szCs w:val="20"/>
          <w:u w:val="single"/>
          <w:lang w:val="en-GB" w:eastAsia="x-none"/>
        </w:rPr>
      </w:pPr>
      <w:r>
        <w:rPr>
          <w:rFonts w:ascii="Aptos" w:hAnsi="Aptos" w:cs="Calibri"/>
          <w:b/>
          <w:sz w:val="20"/>
          <w:szCs w:val="20"/>
          <w:u w:val="single"/>
          <w:lang w:eastAsia="x-none"/>
        </w:rPr>
        <w:t>α</w:t>
      </w:r>
      <w:r w:rsidR="00677257" w:rsidRPr="00BE5E19">
        <w:rPr>
          <w:rFonts w:ascii="Aptos" w:hAnsi="Aptos" w:cs="Calibri"/>
          <w:b/>
          <w:sz w:val="20"/>
          <w:szCs w:val="20"/>
          <w:u w:val="single"/>
          <w:lang w:val="en-GB" w:eastAsia="x-none"/>
        </w:rPr>
        <w:t xml:space="preserve">-EBIT and </w:t>
      </w:r>
      <w:r>
        <w:rPr>
          <w:rFonts w:ascii="Aptos" w:hAnsi="Aptos" w:cs="Calibri"/>
          <w:b/>
          <w:sz w:val="20"/>
          <w:szCs w:val="20"/>
          <w:u w:val="single"/>
          <w:lang w:eastAsia="x-none"/>
        </w:rPr>
        <w:t>α</w:t>
      </w:r>
      <w:r w:rsidR="00677257" w:rsidRPr="00BE5E19">
        <w:rPr>
          <w:rFonts w:ascii="Aptos" w:hAnsi="Aptos" w:cs="Calibri"/>
          <w:b/>
          <w:sz w:val="20"/>
          <w:szCs w:val="20"/>
          <w:u w:val="single"/>
          <w:lang w:val="en-GB" w:eastAsia="x-none"/>
        </w:rPr>
        <w:t>-EBITDA:</w:t>
      </w:r>
    </w:p>
    <w:tbl>
      <w:tblPr>
        <w:tblW w:w="10458"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blBorders>
        <w:tblLayout w:type="fixed"/>
        <w:tblLook w:val="04A0" w:firstRow="1" w:lastRow="0" w:firstColumn="1" w:lastColumn="0" w:noHBand="0" w:noVBand="1"/>
      </w:tblPr>
      <w:tblGrid>
        <w:gridCol w:w="3330"/>
        <w:gridCol w:w="891"/>
        <w:gridCol w:w="891"/>
        <w:gridCol w:w="891"/>
        <w:gridCol w:w="891"/>
        <w:gridCol w:w="891"/>
        <w:gridCol w:w="891"/>
        <w:gridCol w:w="891"/>
        <w:gridCol w:w="891"/>
      </w:tblGrid>
      <w:tr w:rsidR="0031446E" w:rsidRPr="00BE5E19" w14:paraId="40D9C362" w14:textId="77777777" w:rsidTr="0050101D">
        <w:trPr>
          <w:trHeight w:val="300"/>
        </w:trPr>
        <w:tc>
          <w:tcPr>
            <w:tcW w:w="3330" w:type="dxa"/>
            <w:shd w:val="clear" w:color="auto" w:fill="476C2E"/>
            <w:noWrap/>
            <w:vAlign w:val="center"/>
            <w:hideMark/>
          </w:tcPr>
          <w:p w14:paraId="5F43B387" w14:textId="77777777" w:rsidR="0031446E" w:rsidRPr="00BE5E19" w:rsidRDefault="0031446E" w:rsidP="0031446E">
            <w:pPr>
              <w:spacing w:after="0" w:line="240" w:lineRule="auto"/>
              <w:jc w:val="both"/>
              <w:rPr>
                <w:rFonts w:ascii="Aptos" w:eastAsia="Times New Roman" w:hAnsi="Aptos" w:cs="Arial"/>
                <w:b/>
                <w:bCs/>
                <w:color w:val="FFFFFF"/>
                <w:sz w:val="20"/>
                <w:szCs w:val="20"/>
                <w:lang w:val="en-GB"/>
              </w:rPr>
            </w:pPr>
          </w:p>
        </w:tc>
        <w:tc>
          <w:tcPr>
            <w:tcW w:w="1782" w:type="dxa"/>
            <w:gridSpan w:val="2"/>
            <w:shd w:val="clear" w:color="auto" w:fill="476C2E"/>
            <w:noWrap/>
            <w:vAlign w:val="center"/>
            <w:hideMark/>
          </w:tcPr>
          <w:p w14:paraId="434B1E5B" w14:textId="2966DBBF"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6C0543">
              <w:rPr>
                <w:b/>
                <w:color w:val="FFFFFF"/>
                <w:sz w:val="20"/>
                <w:u w:val="single"/>
              </w:rPr>
              <w:t>Καλώδια</w:t>
            </w:r>
          </w:p>
        </w:tc>
        <w:tc>
          <w:tcPr>
            <w:tcW w:w="1782" w:type="dxa"/>
            <w:gridSpan w:val="2"/>
            <w:shd w:val="clear" w:color="auto" w:fill="476C2E"/>
            <w:noWrap/>
            <w:vAlign w:val="center"/>
            <w:hideMark/>
          </w:tcPr>
          <w:p w14:paraId="33D85A82" w14:textId="76261AE8"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6C0543">
              <w:rPr>
                <w:b/>
                <w:color w:val="FFFFFF"/>
                <w:sz w:val="20"/>
                <w:u w:val="single"/>
              </w:rPr>
              <w:t>Σωλήνες χάλυβα</w:t>
            </w:r>
          </w:p>
        </w:tc>
        <w:tc>
          <w:tcPr>
            <w:tcW w:w="1782" w:type="dxa"/>
            <w:gridSpan w:val="2"/>
            <w:shd w:val="clear" w:color="auto" w:fill="476C2E"/>
            <w:noWrap/>
            <w:vAlign w:val="center"/>
            <w:hideMark/>
          </w:tcPr>
          <w:p w14:paraId="0E14F1B7" w14:textId="5A528B63" w:rsidR="0031446E" w:rsidRPr="00BE5E19" w:rsidRDefault="0031446E" w:rsidP="0031446E">
            <w:pPr>
              <w:spacing w:after="0" w:line="240" w:lineRule="auto"/>
              <w:jc w:val="center"/>
              <w:rPr>
                <w:rFonts w:ascii="Aptos" w:eastAsia="Times New Roman" w:hAnsi="Aptos" w:cs="Arial"/>
                <w:b/>
                <w:bCs/>
                <w:color w:val="FFFFFF"/>
                <w:sz w:val="20"/>
                <w:szCs w:val="20"/>
                <w:u w:val="single"/>
                <w:lang w:val="en-GB"/>
              </w:rPr>
            </w:pPr>
            <w:r w:rsidRPr="006C0543">
              <w:rPr>
                <w:b/>
                <w:color w:val="FFFFFF"/>
                <w:sz w:val="20"/>
                <w:u w:val="single"/>
              </w:rPr>
              <w:t>Λοιπές δραστηριότητες</w:t>
            </w:r>
          </w:p>
        </w:tc>
        <w:tc>
          <w:tcPr>
            <w:tcW w:w="1782" w:type="dxa"/>
            <w:gridSpan w:val="2"/>
            <w:shd w:val="clear" w:color="auto" w:fill="476C2E"/>
            <w:noWrap/>
            <w:vAlign w:val="center"/>
            <w:hideMark/>
          </w:tcPr>
          <w:p w14:paraId="5489ADB4" w14:textId="21407F66" w:rsidR="0031446E" w:rsidRPr="00BE5E19" w:rsidRDefault="0031446E" w:rsidP="0031446E">
            <w:pPr>
              <w:spacing w:after="0" w:line="240" w:lineRule="auto"/>
              <w:jc w:val="center"/>
              <w:rPr>
                <w:rFonts w:ascii="Aptos" w:eastAsia="Times New Roman" w:hAnsi="Aptos"/>
                <w:b/>
                <w:bCs/>
                <w:color w:val="FFFFFF"/>
                <w:sz w:val="20"/>
                <w:szCs w:val="20"/>
                <w:u w:val="single"/>
                <w:lang w:val="en-GB" w:eastAsia="el-GR"/>
              </w:rPr>
            </w:pPr>
            <w:r w:rsidRPr="006C0543">
              <w:rPr>
                <w:b/>
                <w:color w:val="FFFFFF"/>
                <w:sz w:val="20"/>
                <w:u w:val="single"/>
              </w:rPr>
              <w:t>Σύνολο</w:t>
            </w:r>
          </w:p>
        </w:tc>
      </w:tr>
      <w:tr w:rsidR="0031446E" w:rsidRPr="00BE5E19" w14:paraId="59CF22AB" w14:textId="77777777" w:rsidTr="00505C2A">
        <w:trPr>
          <w:trHeight w:val="300"/>
        </w:trPr>
        <w:tc>
          <w:tcPr>
            <w:tcW w:w="3330" w:type="dxa"/>
            <w:tcBorders>
              <w:bottom w:val="nil"/>
            </w:tcBorders>
            <w:shd w:val="clear" w:color="auto" w:fill="476C2E"/>
            <w:noWrap/>
            <w:vAlign w:val="bottom"/>
            <w:hideMark/>
          </w:tcPr>
          <w:p w14:paraId="7D295D24" w14:textId="169050C7" w:rsidR="0031446E" w:rsidRPr="00BE5E19" w:rsidRDefault="0031446E" w:rsidP="0031446E">
            <w:pPr>
              <w:spacing w:after="0" w:line="240" w:lineRule="auto"/>
              <w:rPr>
                <w:rFonts w:ascii="Aptos" w:eastAsia="Times New Roman" w:hAnsi="Aptos" w:cs="Arial"/>
                <w:b/>
                <w:bCs/>
                <w:color w:val="FFFFFF"/>
                <w:sz w:val="20"/>
                <w:szCs w:val="20"/>
                <w:lang w:val="en-GB"/>
              </w:rPr>
            </w:pPr>
            <w:r w:rsidRPr="00FC6E57">
              <w:rPr>
                <w:rFonts w:eastAsia="Times New Roman" w:cs="Arial"/>
                <w:b/>
                <w:bCs/>
                <w:color w:val="FFFFFF" w:themeColor="background1"/>
                <w:sz w:val="20"/>
                <w:szCs w:val="20"/>
              </w:rPr>
              <w:t>Ποσά σε χιλιάδες ευρώ</w:t>
            </w:r>
          </w:p>
        </w:tc>
        <w:tc>
          <w:tcPr>
            <w:tcW w:w="891" w:type="dxa"/>
            <w:tcBorders>
              <w:bottom w:val="nil"/>
            </w:tcBorders>
            <w:shd w:val="clear" w:color="auto" w:fill="476C2E"/>
            <w:noWrap/>
            <w:vAlign w:val="center"/>
            <w:hideMark/>
          </w:tcPr>
          <w:p w14:paraId="36E7266A" w14:textId="345BA6C5"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91" w:type="dxa"/>
            <w:tcBorders>
              <w:bottom w:val="nil"/>
            </w:tcBorders>
            <w:shd w:val="clear" w:color="auto" w:fill="476C2E"/>
            <w:noWrap/>
            <w:vAlign w:val="center"/>
            <w:hideMark/>
          </w:tcPr>
          <w:p w14:paraId="5CB97F8E" w14:textId="642F542A"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91" w:type="dxa"/>
            <w:tcBorders>
              <w:bottom w:val="nil"/>
            </w:tcBorders>
            <w:shd w:val="clear" w:color="auto" w:fill="476C2E"/>
            <w:noWrap/>
            <w:vAlign w:val="center"/>
            <w:hideMark/>
          </w:tcPr>
          <w:p w14:paraId="535F5CA0" w14:textId="1330A1E6" w:rsidR="0031446E" w:rsidRPr="0031446E" w:rsidRDefault="0031446E" w:rsidP="0031446E">
            <w:pPr>
              <w:spacing w:after="0" w:line="240" w:lineRule="auto"/>
              <w:jc w:val="center"/>
              <w:rPr>
                <w:rFonts w:ascii="Aptos" w:eastAsia="Times New Roman" w:hAnsi="Aptos" w:cs="Arial"/>
                <w:b/>
                <w:bCs/>
                <w:color w:val="FFFFFF"/>
                <w:sz w:val="20"/>
                <w:szCs w:val="20"/>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91" w:type="dxa"/>
            <w:tcBorders>
              <w:bottom w:val="nil"/>
            </w:tcBorders>
            <w:shd w:val="clear" w:color="auto" w:fill="476C2E"/>
            <w:noWrap/>
            <w:vAlign w:val="center"/>
            <w:hideMark/>
          </w:tcPr>
          <w:p w14:paraId="0C715180" w14:textId="121CB267"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91" w:type="dxa"/>
            <w:tcBorders>
              <w:bottom w:val="nil"/>
            </w:tcBorders>
            <w:shd w:val="clear" w:color="auto" w:fill="476C2E"/>
            <w:noWrap/>
            <w:vAlign w:val="center"/>
            <w:hideMark/>
          </w:tcPr>
          <w:p w14:paraId="72505A23" w14:textId="138F7621"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91" w:type="dxa"/>
            <w:tcBorders>
              <w:bottom w:val="nil"/>
            </w:tcBorders>
            <w:shd w:val="clear" w:color="auto" w:fill="476C2E"/>
            <w:noWrap/>
            <w:vAlign w:val="center"/>
            <w:hideMark/>
          </w:tcPr>
          <w:p w14:paraId="0F9EEB3A" w14:textId="5FD291E0"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5</w:t>
            </w:r>
          </w:p>
        </w:tc>
        <w:tc>
          <w:tcPr>
            <w:tcW w:w="891" w:type="dxa"/>
            <w:tcBorders>
              <w:bottom w:val="nil"/>
            </w:tcBorders>
            <w:shd w:val="clear" w:color="auto" w:fill="476C2E"/>
            <w:noWrap/>
            <w:vAlign w:val="center"/>
            <w:hideMark/>
          </w:tcPr>
          <w:p w14:paraId="5EB2C2F2" w14:textId="3F31FEC9"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rPr>
              <w:t>6</w:t>
            </w:r>
          </w:p>
        </w:tc>
        <w:tc>
          <w:tcPr>
            <w:tcW w:w="891" w:type="dxa"/>
            <w:tcBorders>
              <w:bottom w:val="nil"/>
            </w:tcBorders>
            <w:shd w:val="clear" w:color="auto" w:fill="476C2E"/>
            <w:noWrap/>
            <w:vAlign w:val="center"/>
            <w:hideMark/>
          </w:tcPr>
          <w:p w14:paraId="0AEDA492" w14:textId="556217B6" w:rsidR="0031446E" w:rsidRPr="00BE5E19" w:rsidRDefault="0031446E" w:rsidP="0031446E">
            <w:pPr>
              <w:spacing w:after="0" w:line="240" w:lineRule="auto"/>
              <w:jc w:val="center"/>
              <w:rPr>
                <w:rFonts w:ascii="Aptos" w:eastAsia="Times New Roman" w:hAnsi="Aptos" w:cs="Arial"/>
                <w:b/>
                <w:bCs/>
                <w:color w:val="FFFFFF"/>
                <w:sz w:val="20"/>
                <w:szCs w:val="20"/>
                <w:lang w:val="en-GB"/>
              </w:rPr>
            </w:pPr>
            <w:r w:rsidRPr="000A6EB0">
              <w:rPr>
                <w:b/>
                <w:color w:val="FFFFFF"/>
                <w:sz w:val="20"/>
                <w:szCs w:val="20"/>
              </w:rPr>
              <w:t xml:space="preserve">1ο εξ. </w:t>
            </w:r>
            <w:r w:rsidRPr="000A6EB0">
              <w:rPr>
                <w:rFonts w:eastAsia="Times New Roman" w:cs="Arial"/>
                <w:b/>
                <w:bCs/>
                <w:color w:val="FFFFFF" w:themeColor="background1"/>
                <w:sz w:val="20"/>
                <w:szCs w:val="20"/>
                <w:lang w:val="en-GB"/>
              </w:rPr>
              <w:t xml:space="preserve"> 202</w:t>
            </w:r>
            <w:r>
              <w:rPr>
                <w:rFonts w:eastAsia="Times New Roman" w:cs="Arial"/>
                <w:b/>
                <w:bCs/>
                <w:color w:val="FFFFFF" w:themeColor="background1"/>
                <w:sz w:val="20"/>
                <w:szCs w:val="20"/>
                <w:lang w:val="en-US"/>
              </w:rPr>
              <w:t>5</w:t>
            </w:r>
          </w:p>
        </w:tc>
      </w:tr>
      <w:tr w:rsidR="0031446E" w:rsidRPr="00BE5E19" w14:paraId="0E72A13B" w14:textId="77777777" w:rsidTr="009E31E5">
        <w:trPr>
          <w:trHeight w:val="300"/>
        </w:trPr>
        <w:tc>
          <w:tcPr>
            <w:tcW w:w="3330" w:type="dxa"/>
            <w:tcBorders>
              <w:top w:val="nil"/>
              <w:bottom w:val="single" w:sz="4" w:space="0" w:color="385623" w:themeColor="accent6" w:themeShade="80"/>
              <w:right w:val="single" w:sz="4" w:space="0" w:color="385623" w:themeColor="accent6" w:themeShade="80"/>
            </w:tcBorders>
            <w:shd w:val="clear" w:color="auto" w:fill="E2EFD9"/>
            <w:vAlign w:val="bottom"/>
            <w:hideMark/>
          </w:tcPr>
          <w:p w14:paraId="7A71EBB6" w14:textId="6FA70EBE" w:rsidR="0031446E" w:rsidRPr="00BE5E19" w:rsidRDefault="0031446E" w:rsidP="0031446E">
            <w:pPr>
              <w:spacing w:before="20" w:after="20" w:line="240" w:lineRule="auto"/>
              <w:rPr>
                <w:rFonts w:ascii="Aptos" w:eastAsia="Times New Roman" w:hAnsi="Aptos" w:cs="Arial"/>
                <w:b/>
                <w:bCs/>
                <w:color w:val="000000"/>
                <w:sz w:val="18"/>
                <w:szCs w:val="18"/>
                <w:lang w:val="en-GB"/>
              </w:rPr>
            </w:pPr>
            <w:r w:rsidRPr="008414D9">
              <w:rPr>
                <w:rFonts w:eastAsia="Times New Roman" w:cs="Arial"/>
                <w:b/>
                <w:bCs/>
                <w:color w:val="000000"/>
                <w:sz w:val="18"/>
                <w:szCs w:val="18"/>
                <w:lang w:val="en-GB"/>
              </w:rPr>
              <w:t>EBIT</w:t>
            </w:r>
          </w:p>
        </w:tc>
        <w:tc>
          <w:tcPr>
            <w:tcW w:w="891" w:type="dxa"/>
            <w:tcBorders>
              <w:top w:val="nil"/>
              <w:left w:val="single" w:sz="4" w:space="0" w:color="385623" w:themeColor="accent6" w:themeShade="80"/>
              <w:bottom w:val="single" w:sz="4" w:space="0" w:color="385623" w:themeColor="accent6" w:themeShade="80"/>
            </w:tcBorders>
            <w:shd w:val="clear" w:color="auto" w:fill="E2EFD9"/>
            <w:noWrap/>
            <w:vAlign w:val="center"/>
          </w:tcPr>
          <w:p w14:paraId="7F6C8D0A" w14:textId="629158E7" w:rsidR="0031446E" w:rsidRPr="00BE5E19" w:rsidRDefault="0031446E" w:rsidP="0031446E">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154</w:t>
            </w:r>
            <w:r>
              <w:rPr>
                <w:rFonts w:ascii="Aptos" w:hAnsi="Aptos" w:cs="Calibri"/>
                <w:b/>
                <w:bCs/>
                <w:color w:val="000000"/>
                <w:sz w:val="18"/>
                <w:szCs w:val="18"/>
              </w:rPr>
              <w:t>.</w:t>
            </w:r>
            <w:r w:rsidRPr="00BE5E19">
              <w:rPr>
                <w:rFonts w:ascii="Aptos" w:hAnsi="Aptos" w:cs="Calibri"/>
                <w:b/>
                <w:bCs/>
                <w:color w:val="000000"/>
                <w:sz w:val="18"/>
                <w:szCs w:val="18"/>
              </w:rPr>
              <w:t>121</w:t>
            </w:r>
          </w:p>
        </w:tc>
        <w:tc>
          <w:tcPr>
            <w:tcW w:w="891" w:type="dxa"/>
            <w:tcBorders>
              <w:top w:val="nil"/>
              <w:bottom w:val="single" w:sz="4" w:space="0" w:color="385623" w:themeColor="accent6" w:themeShade="80"/>
              <w:right w:val="single" w:sz="4" w:space="0" w:color="385623" w:themeColor="accent6" w:themeShade="80"/>
            </w:tcBorders>
            <w:shd w:val="clear" w:color="auto" w:fill="E2EFD9"/>
            <w:noWrap/>
            <w:vAlign w:val="center"/>
          </w:tcPr>
          <w:p w14:paraId="026BB671" w14:textId="2887689F"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108</w:t>
            </w:r>
            <w:r>
              <w:rPr>
                <w:rFonts w:ascii="Aptos" w:hAnsi="Aptos" w:cs="Calibri"/>
                <w:b/>
                <w:bCs/>
                <w:color w:val="000000"/>
                <w:sz w:val="18"/>
                <w:szCs w:val="18"/>
              </w:rPr>
              <w:t>.</w:t>
            </w:r>
            <w:r w:rsidRPr="00BE5E19">
              <w:rPr>
                <w:rFonts w:ascii="Aptos" w:hAnsi="Aptos" w:cs="Calibri"/>
                <w:b/>
                <w:bCs/>
                <w:color w:val="000000"/>
                <w:sz w:val="18"/>
                <w:szCs w:val="18"/>
              </w:rPr>
              <w:t>185</w:t>
            </w:r>
          </w:p>
        </w:tc>
        <w:tc>
          <w:tcPr>
            <w:tcW w:w="891" w:type="dxa"/>
            <w:tcBorders>
              <w:top w:val="nil"/>
              <w:left w:val="single" w:sz="4" w:space="0" w:color="385623" w:themeColor="accent6" w:themeShade="80"/>
              <w:bottom w:val="single" w:sz="4" w:space="0" w:color="385623" w:themeColor="accent6" w:themeShade="80"/>
            </w:tcBorders>
            <w:shd w:val="clear" w:color="auto" w:fill="E2EFD9"/>
            <w:noWrap/>
            <w:vAlign w:val="center"/>
          </w:tcPr>
          <w:p w14:paraId="7942BFA0" w14:textId="36ED78DE"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371</w:t>
            </w:r>
          </w:p>
        </w:tc>
        <w:tc>
          <w:tcPr>
            <w:tcW w:w="891" w:type="dxa"/>
            <w:tcBorders>
              <w:top w:val="nil"/>
              <w:bottom w:val="single" w:sz="4" w:space="0" w:color="385623" w:themeColor="accent6" w:themeShade="80"/>
              <w:right w:val="single" w:sz="4" w:space="0" w:color="385623" w:themeColor="accent6" w:themeShade="80"/>
            </w:tcBorders>
            <w:shd w:val="clear" w:color="auto" w:fill="E2EFD9"/>
            <w:noWrap/>
            <w:vAlign w:val="center"/>
          </w:tcPr>
          <w:p w14:paraId="10BE4E46" w14:textId="60A19144"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198</w:t>
            </w:r>
          </w:p>
        </w:tc>
        <w:tc>
          <w:tcPr>
            <w:tcW w:w="891" w:type="dxa"/>
            <w:tcBorders>
              <w:top w:val="nil"/>
              <w:left w:val="single" w:sz="4" w:space="0" w:color="385623" w:themeColor="accent6" w:themeShade="80"/>
              <w:bottom w:val="single" w:sz="4" w:space="0" w:color="385623" w:themeColor="accent6" w:themeShade="80"/>
            </w:tcBorders>
            <w:shd w:val="clear" w:color="auto" w:fill="E2EFD9"/>
            <w:noWrap/>
            <w:vAlign w:val="center"/>
          </w:tcPr>
          <w:p w14:paraId="6FCD8242" w14:textId="55F90906"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(547)</w:t>
            </w:r>
          </w:p>
        </w:tc>
        <w:tc>
          <w:tcPr>
            <w:tcW w:w="891" w:type="dxa"/>
            <w:tcBorders>
              <w:top w:val="nil"/>
              <w:bottom w:val="single" w:sz="4" w:space="0" w:color="385623" w:themeColor="accent6" w:themeShade="80"/>
              <w:right w:val="single" w:sz="4" w:space="0" w:color="385623" w:themeColor="accent6" w:themeShade="80"/>
            </w:tcBorders>
            <w:shd w:val="clear" w:color="auto" w:fill="E2EFD9"/>
            <w:noWrap/>
            <w:vAlign w:val="center"/>
          </w:tcPr>
          <w:p w14:paraId="3A0B0BF9" w14:textId="312CBF5F"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(533)</w:t>
            </w:r>
          </w:p>
        </w:tc>
        <w:tc>
          <w:tcPr>
            <w:tcW w:w="891" w:type="dxa"/>
            <w:tcBorders>
              <w:top w:val="nil"/>
              <w:left w:val="single" w:sz="4" w:space="0" w:color="385623" w:themeColor="accent6" w:themeShade="80"/>
              <w:bottom w:val="single" w:sz="4" w:space="0" w:color="385623" w:themeColor="accent6" w:themeShade="80"/>
            </w:tcBorders>
            <w:shd w:val="clear" w:color="auto" w:fill="E2EFD9"/>
            <w:noWrap/>
            <w:vAlign w:val="center"/>
          </w:tcPr>
          <w:p w14:paraId="54D71BCF" w14:textId="1CA95DBF"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198</w:t>
            </w:r>
            <w:r>
              <w:rPr>
                <w:rFonts w:ascii="Aptos" w:hAnsi="Aptos" w:cs="Calibri"/>
                <w:b/>
                <w:bCs/>
                <w:color w:val="000000"/>
                <w:sz w:val="18"/>
                <w:szCs w:val="18"/>
              </w:rPr>
              <w:t>.</w:t>
            </w:r>
            <w:r w:rsidRPr="00BE5E19">
              <w:rPr>
                <w:rFonts w:ascii="Aptos" w:hAnsi="Aptos" w:cs="Calibri"/>
                <w:b/>
                <w:bCs/>
                <w:color w:val="000000"/>
                <w:sz w:val="18"/>
                <w:szCs w:val="18"/>
              </w:rPr>
              <w:t>945</w:t>
            </w:r>
          </w:p>
        </w:tc>
        <w:tc>
          <w:tcPr>
            <w:tcW w:w="891" w:type="dxa"/>
            <w:tcBorders>
              <w:top w:val="nil"/>
              <w:bottom w:val="single" w:sz="4" w:space="0" w:color="385623" w:themeColor="accent6" w:themeShade="80"/>
            </w:tcBorders>
            <w:shd w:val="clear" w:color="auto" w:fill="E2EFD9"/>
            <w:noWrap/>
            <w:vAlign w:val="center"/>
          </w:tcPr>
          <w:p w14:paraId="5B52B18F" w14:textId="47E27DA2"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152</w:t>
            </w:r>
            <w:r>
              <w:rPr>
                <w:rFonts w:ascii="Aptos" w:hAnsi="Aptos" w:cs="Calibri"/>
                <w:b/>
                <w:bCs/>
                <w:color w:val="000000"/>
                <w:sz w:val="18"/>
                <w:szCs w:val="18"/>
              </w:rPr>
              <w:t>.</w:t>
            </w:r>
            <w:r w:rsidRPr="00BE5E19">
              <w:rPr>
                <w:rFonts w:ascii="Aptos" w:hAnsi="Aptos" w:cs="Calibri"/>
                <w:b/>
                <w:bCs/>
                <w:color w:val="000000"/>
                <w:sz w:val="18"/>
                <w:szCs w:val="18"/>
              </w:rPr>
              <w:t>850</w:t>
            </w:r>
          </w:p>
        </w:tc>
      </w:tr>
      <w:tr w:rsidR="0031446E" w:rsidRPr="00BE5E19" w14:paraId="3619C6B5" w14:textId="77777777" w:rsidTr="009E31E5">
        <w:trPr>
          <w:trHeight w:val="300"/>
        </w:trPr>
        <w:tc>
          <w:tcPr>
            <w:tcW w:w="3330" w:type="dxa"/>
            <w:tcBorders>
              <w:top w:val="single" w:sz="4" w:space="0" w:color="385623" w:themeColor="accent6" w:themeShade="80"/>
              <w:right w:val="single" w:sz="4" w:space="0" w:color="385623" w:themeColor="accent6" w:themeShade="80"/>
            </w:tcBorders>
            <w:noWrap/>
            <w:vAlign w:val="bottom"/>
            <w:hideMark/>
          </w:tcPr>
          <w:p w14:paraId="5EA00596" w14:textId="104690B8" w:rsidR="0031446E" w:rsidRPr="00BE5E19" w:rsidRDefault="0031446E" w:rsidP="0031446E">
            <w:pPr>
              <w:spacing w:before="20" w:after="20" w:line="240" w:lineRule="auto"/>
              <w:rPr>
                <w:rFonts w:ascii="Aptos" w:eastAsia="Times New Roman" w:hAnsi="Aptos" w:cs="Arial"/>
                <w:color w:val="000000"/>
                <w:sz w:val="18"/>
                <w:szCs w:val="18"/>
                <w:lang w:val="en-GB"/>
              </w:rPr>
            </w:pPr>
            <w:r w:rsidRPr="00FC6E57">
              <w:rPr>
                <w:rFonts w:cs="Calibri"/>
                <w:b/>
                <w:i/>
                <w:color w:val="000000"/>
                <w:sz w:val="18"/>
                <w:szCs w:val="18"/>
                <w:u w:val="single"/>
              </w:rPr>
              <w:t>Προσαρμογές για:</w:t>
            </w:r>
          </w:p>
        </w:tc>
        <w:tc>
          <w:tcPr>
            <w:tcW w:w="891" w:type="dxa"/>
            <w:tcBorders>
              <w:top w:val="single" w:sz="4" w:space="0" w:color="385623" w:themeColor="accent6" w:themeShade="80"/>
              <w:left w:val="single" w:sz="4" w:space="0" w:color="385623" w:themeColor="accent6" w:themeShade="80"/>
            </w:tcBorders>
            <w:noWrap/>
            <w:vAlign w:val="center"/>
          </w:tcPr>
          <w:p w14:paraId="3C032B53" w14:textId="621AF426"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right w:val="single" w:sz="4" w:space="0" w:color="385623" w:themeColor="accent6" w:themeShade="80"/>
            </w:tcBorders>
            <w:noWrap/>
            <w:vAlign w:val="center"/>
          </w:tcPr>
          <w:p w14:paraId="60A1F534" w14:textId="50707183"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left w:val="single" w:sz="4" w:space="0" w:color="385623" w:themeColor="accent6" w:themeShade="80"/>
            </w:tcBorders>
            <w:noWrap/>
            <w:vAlign w:val="center"/>
          </w:tcPr>
          <w:p w14:paraId="4048B4DE" w14:textId="2E1651AC"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right w:val="single" w:sz="4" w:space="0" w:color="385623" w:themeColor="accent6" w:themeShade="80"/>
            </w:tcBorders>
            <w:noWrap/>
            <w:vAlign w:val="center"/>
          </w:tcPr>
          <w:p w14:paraId="404F6E7B" w14:textId="30066136"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left w:val="single" w:sz="4" w:space="0" w:color="385623" w:themeColor="accent6" w:themeShade="80"/>
            </w:tcBorders>
            <w:noWrap/>
            <w:vAlign w:val="center"/>
          </w:tcPr>
          <w:p w14:paraId="424E499D" w14:textId="0F1DA6F2"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right w:val="single" w:sz="4" w:space="0" w:color="385623" w:themeColor="accent6" w:themeShade="80"/>
            </w:tcBorders>
            <w:noWrap/>
            <w:vAlign w:val="center"/>
          </w:tcPr>
          <w:p w14:paraId="506AD936" w14:textId="1B3B52D5"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left w:val="single" w:sz="4" w:space="0" w:color="385623" w:themeColor="accent6" w:themeShade="80"/>
            </w:tcBorders>
            <w:noWrap/>
            <w:vAlign w:val="center"/>
          </w:tcPr>
          <w:p w14:paraId="2E1BC9E8" w14:textId="304AA4A3"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c>
          <w:tcPr>
            <w:tcW w:w="891" w:type="dxa"/>
            <w:tcBorders>
              <w:top w:val="single" w:sz="4" w:space="0" w:color="385623" w:themeColor="accent6" w:themeShade="80"/>
            </w:tcBorders>
            <w:noWrap/>
            <w:vAlign w:val="center"/>
          </w:tcPr>
          <w:p w14:paraId="7B1D8239" w14:textId="4E41F9BA"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 </w:t>
            </w:r>
          </w:p>
        </w:tc>
      </w:tr>
      <w:tr w:rsidR="0031446E" w:rsidRPr="00BE5E19" w14:paraId="4D225E1A" w14:textId="77777777" w:rsidTr="00FD2006">
        <w:trPr>
          <w:trHeight w:val="300"/>
        </w:trPr>
        <w:tc>
          <w:tcPr>
            <w:tcW w:w="3330" w:type="dxa"/>
            <w:tcBorders>
              <w:bottom w:val="nil"/>
              <w:right w:val="single" w:sz="4" w:space="0" w:color="385623" w:themeColor="accent6" w:themeShade="80"/>
            </w:tcBorders>
            <w:noWrap/>
            <w:vAlign w:val="bottom"/>
          </w:tcPr>
          <w:p w14:paraId="15E8ED4A" w14:textId="45CC7752" w:rsidR="0031446E" w:rsidRPr="00BE5E19" w:rsidRDefault="0031446E" w:rsidP="0031446E">
            <w:pPr>
              <w:spacing w:before="20" w:after="20" w:line="240" w:lineRule="auto"/>
              <w:rPr>
                <w:rFonts w:ascii="Aptos" w:hAnsi="Aptos" w:cs="Calibri"/>
                <w:color w:val="000000"/>
                <w:sz w:val="18"/>
                <w:szCs w:val="18"/>
                <w:lang w:val="en-GB"/>
              </w:rPr>
            </w:pPr>
            <w:r w:rsidRPr="00FC6E57">
              <w:rPr>
                <w:rFonts w:cs="Calibri"/>
                <w:color w:val="000000"/>
                <w:sz w:val="18"/>
                <w:szCs w:val="18"/>
              </w:rPr>
              <w:t>Αποτέλεσμα Μετάλλου</w:t>
            </w:r>
            <w:r w:rsidRPr="00FC6E57">
              <w:rPr>
                <w:rFonts w:cs="Calibri"/>
                <w:color w:val="000000"/>
                <w:sz w:val="18"/>
                <w:szCs w:val="18"/>
                <w:vertAlign w:val="superscript"/>
                <w:lang w:val="en-US"/>
              </w:rPr>
              <w:t xml:space="preserve"> (1)</w:t>
            </w:r>
          </w:p>
        </w:tc>
        <w:tc>
          <w:tcPr>
            <w:tcW w:w="891" w:type="dxa"/>
            <w:tcBorders>
              <w:left w:val="single" w:sz="4" w:space="0" w:color="385623" w:themeColor="accent6" w:themeShade="80"/>
              <w:bottom w:val="nil"/>
            </w:tcBorders>
            <w:noWrap/>
            <w:vAlign w:val="center"/>
          </w:tcPr>
          <w:p w14:paraId="23E3FA10" w14:textId="6555870A"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(7</w:t>
            </w:r>
            <w:r>
              <w:rPr>
                <w:rFonts w:ascii="Aptos" w:hAnsi="Aptos" w:cs="Calibri"/>
                <w:color w:val="000000"/>
                <w:sz w:val="18"/>
                <w:szCs w:val="18"/>
              </w:rPr>
              <w:t>.</w:t>
            </w:r>
            <w:r w:rsidRPr="00BE5E19">
              <w:rPr>
                <w:rFonts w:ascii="Aptos" w:hAnsi="Aptos" w:cs="Calibri"/>
                <w:color w:val="000000"/>
                <w:sz w:val="18"/>
                <w:szCs w:val="18"/>
              </w:rPr>
              <w:t>081)</w:t>
            </w:r>
          </w:p>
        </w:tc>
        <w:tc>
          <w:tcPr>
            <w:tcW w:w="891" w:type="dxa"/>
            <w:tcBorders>
              <w:bottom w:val="nil"/>
              <w:right w:val="single" w:sz="4" w:space="0" w:color="385623" w:themeColor="accent6" w:themeShade="80"/>
            </w:tcBorders>
            <w:noWrap/>
            <w:vAlign w:val="center"/>
          </w:tcPr>
          <w:p w14:paraId="7BFD0AE8" w14:textId="46263000"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(128)</w:t>
            </w:r>
          </w:p>
        </w:tc>
        <w:tc>
          <w:tcPr>
            <w:tcW w:w="891" w:type="dxa"/>
            <w:tcBorders>
              <w:left w:val="single" w:sz="4" w:space="0" w:color="385623" w:themeColor="accent6" w:themeShade="80"/>
              <w:bottom w:val="nil"/>
            </w:tcBorders>
            <w:noWrap/>
            <w:vAlign w:val="center"/>
          </w:tcPr>
          <w:p w14:paraId="359850FB" w14:textId="62F6EDAA" w:rsidR="0031446E" w:rsidRPr="00BE5E19" w:rsidRDefault="0031446E" w:rsidP="0031446E">
            <w:pPr>
              <w:spacing w:after="0"/>
              <w:jc w:val="right"/>
              <w:rPr>
                <w:rFonts w:ascii="Aptos" w:hAnsi="Aptos" w:cs="Calibri"/>
                <w:color w:val="000000"/>
                <w:sz w:val="18"/>
                <w:szCs w:val="18"/>
                <w:lang w:val="en-US"/>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bottom w:val="nil"/>
              <w:right w:val="single" w:sz="4" w:space="0" w:color="385623" w:themeColor="accent6" w:themeShade="80"/>
            </w:tcBorders>
            <w:noWrap/>
            <w:vAlign w:val="center"/>
          </w:tcPr>
          <w:p w14:paraId="2F6779D6" w14:textId="68EEDE82"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left w:val="single" w:sz="4" w:space="0" w:color="385623" w:themeColor="accent6" w:themeShade="80"/>
              <w:bottom w:val="nil"/>
            </w:tcBorders>
            <w:noWrap/>
            <w:vAlign w:val="center"/>
          </w:tcPr>
          <w:p w14:paraId="2FB9D99D" w14:textId="4C7AA524"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bottom w:val="nil"/>
              <w:right w:val="single" w:sz="4" w:space="0" w:color="385623" w:themeColor="accent6" w:themeShade="80"/>
            </w:tcBorders>
            <w:noWrap/>
            <w:vAlign w:val="center"/>
          </w:tcPr>
          <w:p w14:paraId="07DE31D5" w14:textId="65E666EF"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left w:val="single" w:sz="4" w:space="0" w:color="385623" w:themeColor="accent6" w:themeShade="80"/>
              <w:bottom w:val="nil"/>
            </w:tcBorders>
            <w:noWrap/>
            <w:vAlign w:val="center"/>
          </w:tcPr>
          <w:p w14:paraId="722A6B07" w14:textId="0A1C5228"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(7</w:t>
            </w:r>
            <w:r>
              <w:rPr>
                <w:rFonts w:ascii="Aptos" w:hAnsi="Aptos" w:cs="Calibri"/>
                <w:color w:val="000000"/>
                <w:sz w:val="18"/>
                <w:szCs w:val="18"/>
              </w:rPr>
              <w:t>.</w:t>
            </w:r>
            <w:r w:rsidRPr="00BE5E19">
              <w:rPr>
                <w:rFonts w:ascii="Aptos" w:hAnsi="Aptos" w:cs="Calibri"/>
                <w:color w:val="000000"/>
                <w:sz w:val="18"/>
                <w:szCs w:val="18"/>
              </w:rPr>
              <w:t>081)</w:t>
            </w:r>
          </w:p>
        </w:tc>
        <w:tc>
          <w:tcPr>
            <w:tcW w:w="891" w:type="dxa"/>
            <w:tcBorders>
              <w:bottom w:val="nil"/>
            </w:tcBorders>
            <w:noWrap/>
            <w:vAlign w:val="center"/>
          </w:tcPr>
          <w:p w14:paraId="6058E3A7" w14:textId="756BFC5E"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(128)</w:t>
            </w:r>
          </w:p>
        </w:tc>
      </w:tr>
      <w:tr w:rsidR="0031446E" w:rsidRPr="00BE5E19" w14:paraId="26DA8726" w14:textId="77777777" w:rsidTr="00FD2006">
        <w:trPr>
          <w:trHeight w:val="300"/>
        </w:trPr>
        <w:tc>
          <w:tcPr>
            <w:tcW w:w="3330" w:type="dxa"/>
            <w:tcBorders>
              <w:bottom w:val="nil"/>
              <w:right w:val="single" w:sz="4" w:space="0" w:color="385623" w:themeColor="accent6" w:themeShade="80"/>
            </w:tcBorders>
            <w:noWrap/>
            <w:vAlign w:val="bottom"/>
          </w:tcPr>
          <w:p w14:paraId="11DCF80B" w14:textId="36C0B079" w:rsidR="0031446E" w:rsidRPr="0031446E" w:rsidRDefault="0031446E" w:rsidP="0031446E">
            <w:pPr>
              <w:spacing w:before="20" w:after="20" w:line="240" w:lineRule="auto"/>
              <w:rPr>
                <w:rFonts w:ascii="Aptos" w:hAnsi="Aptos" w:cs="Calibri"/>
                <w:color w:val="000000"/>
                <w:sz w:val="18"/>
                <w:szCs w:val="18"/>
              </w:rPr>
            </w:pPr>
            <w:r w:rsidRPr="00FC6E57">
              <w:rPr>
                <w:rFonts w:cs="Calibri"/>
                <w:color w:val="000000"/>
                <w:sz w:val="18"/>
                <w:szCs w:val="18"/>
              </w:rPr>
              <w:t>(Κέρδη)/ Ζημιές από πωλήσεις πάγιων στοιχείων</w:t>
            </w:r>
          </w:p>
        </w:tc>
        <w:tc>
          <w:tcPr>
            <w:tcW w:w="891" w:type="dxa"/>
            <w:tcBorders>
              <w:left w:val="single" w:sz="4" w:space="0" w:color="385623" w:themeColor="accent6" w:themeShade="80"/>
              <w:bottom w:val="nil"/>
            </w:tcBorders>
            <w:noWrap/>
            <w:vAlign w:val="center"/>
          </w:tcPr>
          <w:p w14:paraId="65247404" w14:textId="7C719E14"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(19)</w:t>
            </w:r>
          </w:p>
        </w:tc>
        <w:tc>
          <w:tcPr>
            <w:tcW w:w="891" w:type="dxa"/>
            <w:tcBorders>
              <w:bottom w:val="nil"/>
              <w:right w:val="single" w:sz="4" w:space="0" w:color="385623" w:themeColor="accent6" w:themeShade="80"/>
            </w:tcBorders>
            <w:noWrap/>
            <w:vAlign w:val="center"/>
          </w:tcPr>
          <w:p w14:paraId="4283BC3B" w14:textId="6AEA00C0"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(150)</w:t>
            </w:r>
          </w:p>
        </w:tc>
        <w:tc>
          <w:tcPr>
            <w:tcW w:w="891" w:type="dxa"/>
            <w:tcBorders>
              <w:left w:val="single" w:sz="4" w:space="0" w:color="385623" w:themeColor="accent6" w:themeShade="80"/>
              <w:bottom w:val="nil"/>
            </w:tcBorders>
            <w:noWrap/>
            <w:vAlign w:val="center"/>
          </w:tcPr>
          <w:p w14:paraId="52D90A29" w14:textId="3BCE62E2"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bottom w:val="nil"/>
              <w:right w:val="single" w:sz="4" w:space="0" w:color="385623" w:themeColor="accent6" w:themeShade="80"/>
            </w:tcBorders>
            <w:noWrap/>
            <w:vAlign w:val="center"/>
          </w:tcPr>
          <w:p w14:paraId="6B67A1DB" w14:textId="5EBC9845" w:rsidR="0031446E" w:rsidRPr="00BE5E19" w:rsidRDefault="0031446E" w:rsidP="0031446E">
            <w:pPr>
              <w:spacing w:after="0"/>
              <w:jc w:val="right"/>
              <w:rPr>
                <w:rFonts w:ascii="Aptos" w:hAnsi="Aptos" w:cs="Calibri"/>
                <w:color w:val="000000"/>
                <w:sz w:val="18"/>
                <w:szCs w:val="18"/>
                <w:lang w:val="en-US"/>
              </w:rPr>
            </w:pPr>
            <w:r w:rsidRPr="00BE5E19">
              <w:rPr>
                <w:rFonts w:ascii="Aptos" w:hAnsi="Aptos" w:cs="Calibri"/>
                <w:color w:val="000000"/>
                <w:sz w:val="18"/>
                <w:szCs w:val="18"/>
              </w:rPr>
              <w:t>(23)</w:t>
            </w:r>
          </w:p>
        </w:tc>
        <w:tc>
          <w:tcPr>
            <w:tcW w:w="891" w:type="dxa"/>
            <w:tcBorders>
              <w:left w:val="single" w:sz="4" w:space="0" w:color="385623" w:themeColor="accent6" w:themeShade="80"/>
              <w:bottom w:val="nil"/>
            </w:tcBorders>
            <w:noWrap/>
            <w:vAlign w:val="center"/>
          </w:tcPr>
          <w:p w14:paraId="01B93C08" w14:textId="3572A11B"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bottom w:val="nil"/>
              <w:right w:val="single" w:sz="4" w:space="0" w:color="385623" w:themeColor="accent6" w:themeShade="80"/>
            </w:tcBorders>
            <w:noWrap/>
            <w:vAlign w:val="center"/>
          </w:tcPr>
          <w:p w14:paraId="3A40C0EB" w14:textId="2D6669C4" w:rsidR="0031446E" w:rsidRPr="00BE5E19" w:rsidRDefault="0031446E" w:rsidP="0031446E">
            <w:pPr>
              <w:spacing w:after="0"/>
              <w:jc w:val="right"/>
              <w:rPr>
                <w:rFonts w:ascii="Aptos" w:hAnsi="Aptos" w:cs="Calibri"/>
                <w:color w:val="000000"/>
                <w:sz w:val="18"/>
                <w:szCs w:val="18"/>
                <w:lang w:val="en-GB"/>
              </w:rPr>
            </w:pPr>
            <w:r>
              <w:rPr>
                <w:rFonts w:ascii="Aptos" w:hAnsi="Aptos" w:cs="Calibri"/>
                <w:color w:val="000000"/>
                <w:sz w:val="18"/>
                <w:szCs w:val="18"/>
                <w:lang w:val="en-US"/>
              </w:rPr>
              <w:t>-</w:t>
            </w:r>
            <w:r w:rsidRPr="00BE5E19">
              <w:rPr>
                <w:rFonts w:ascii="Aptos" w:hAnsi="Aptos" w:cs="Calibri"/>
                <w:color w:val="000000"/>
                <w:sz w:val="18"/>
                <w:szCs w:val="18"/>
              </w:rPr>
              <w:t> </w:t>
            </w:r>
          </w:p>
        </w:tc>
        <w:tc>
          <w:tcPr>
            <w:tcW w:w="891" w:type="dxa"/>
            <w:tcBorders>
              <w:left w:val="single" w:sz="4" w:space="0" w:color="385623" w:themeColor="accent6" w:themeShade="80"/>
              <w:bottom w:val="nil"/>
            </w:tcBorders>
            <w:noWrap/>
            <w:vAlign w:val="center"/>
          </w:tcPr>
          <w:p w14:paraId="6135D22F" w14:textId="70EE77B3"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(19)</w:t>
            </w:r>
          </w:p>
        </w:tc>
        <w:tc>
          <w:tcPr>
            <w:tcW w:w="891" w:type="dxa"/>
            <w:tcBorders>
              <w:bottom w:val="nil"/>
            </w:tcBorders>
            <w:noWrap/>
            <w:vAlign w:val="center"/>
          </w:tcPr>
          <w:p w14:paraId="68CD4B9C" w14:textId="6954B9A4" w:rsidR="0031446E" w:rsidRPr="00BE5E19" w:rsidRDefault="0031446E" w:rsidP="0031446E">
            <w:pPr>
              <w:spacing w:after="0"/>
              <w:jc w:val="right"/>
              <w:rPr>
                <w:rFonts w:ascii="Aptos" w:hAnsi="Aptos" w:cs="Calibri"/>
                <w:color w:val="000000"/>
                <w:sz w:val="18"/>
                <w:szCs w:val="18"/>
                <w:lang w:val="en-ZA"/>
              </w:rPr>
            </w:pPr>
            <w:r w:rsidRPr="00BE5E19">
              <w:rPr>
                <w:rFonts w:ascii="Aptos" w:hAnsi="Aptos" w:cs="Calibri"/>
                <w:color w:val="000000"/>
                <w:sz w:val="18"/>
                <w:szCs w:val="18"/>
              </w:rPr>
              <w:t>(173)</w:t>
            </w:r>
          </w:p>
        </w:tc>
      </w:tr>
      <w:tr w:rsidR="0031446E" w:rsidRPr="00BE5E19" w14:paraId="75B9916B" w14:textId="77777777" w:rsidTr="009E31E5">
        <w:trPr>
          <w:trHeight w:val="300"/>
        </w:trPr>
        <w:tc>
          <w:tcPr>
            <w:tcW w:w="3330"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vAlign w:val="bottom"/>
            <w:hideMark/>
          </w:tcPr>
          <w:p w14:paraId="2E82072D" w14:textId="1EF6F6A0" w:rsidR="0031446E" w:rsidRPr="00BE5E19" w:rsidRDefault="0031446E" w:rsidP="0031446E">
            <w:pPr>
              <w:spacing w:before="20" w:after="20" w:line="240" w:lineRule="auto"/>
              <w:rPr>
                <w:rFonts w:ascii="Aptos" w:eastAsia="Times New Roman" w:hAnsi="Aptos" w:cs="Arial"/>
                <w:b/>
                <w:bCs/>
                <w:color w:val="000000"/>
                <w:sz w:val="18"/>
                <w:szCs w:val="18"/>
                <w:lang w:val="en-GB"/>
              </w:rPr>
            </w:pPr>
            <w:r w:rsidRPr="00FC6E57">
              <w:rPr>
                <w:rFonts w:eastAsia="Times New Roman" w:cs="Arial"/>
                <w:b/>
                <w:bCs/>
                <w:color w:val="000000"/>
                <w:sz w:val="18"/>
                <w:szCs w:val="18"/>
              </w:rPr>
              <w:t>Αναπροσαρμοσμένα EBIT</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4D5A0C2F" w14:textId="7E8B458E"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147</w:t>
            </w:r>
            <w:r>
              <w:rPr>
                <w:rFonts w:ascii="Aptos" w:hAnsi="Aptos" w:cs="Calibri"/>
                <w:b/>
                <w:bCs/>
                <w:color w:val="000000"/>
                <w:sz w:val="18"/>
                <w:szCs w:val="18"/>
              </w:rPr>
              <w:t>.</w:t>
            </w:r>
            <w:r w:rsidRPr="00BE5E19">
              <w:rPr>
                <w:rFonts w:ascii="Aptos" w:hAnsi="Aptos" w:cs="Calibri"/>
                <w:b/>
                <w:bCs/>
                <w:color w:val="000000"/>
                <w:sz w:val="18"/>
                <w:szCs w:val="18"/>
              </w:rPr>
              <w:t>021</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129241D1" w14:textId="49CA974D"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107</w:t>
            </w:r>
            <w:r>
              <w:rPr>
                <w:rFonts w:ascii="Aptos" w:hAnsi="Aptos" w:cs="Calibri"/>
                <w:b/>
                <w:bCs/>
                <w:color w:val="000000"/>
                <w:sz w:val="18"/>
                <w:szCs w:val="18"/>
              </w:rPr>
              <w:t>.</w:t>
            </w:r>
            <w:r w:rsidRPr="00BE5E19">
              <w:rPr>
                <w:rFonts w:ascii="Aptos" w:hAnsi="Aptos" w:cs="Calibri"/>
                <w:b/>
                <w:bCs/>
                <w:color w:val="000000"/>
                <w:sz w:val="18"/>
                <w:szCs w:val="18"/>
              </w:rPr>
              <w:t>907</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0FF3A122" w14:textId="49C7D477"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371</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10793D4B" w14:textId="38DD87E1"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45</w:t>
            </w:r>
            <w:r>
              <w:rPr>
                <w:rFonts w:ascii="Aptos" w:hAnsi="Aptos" w:cs="Calibri"/>
                <w:b/>
                <w:bCs/>
                <w:color w:val="000000"/>
                <w:sz w:val="18"/>
                <w:szCs w:val="18"/>
              </w:rPr>
              <w:t>.</w:t>
            </w:r>
            <w:r w:rsidRPr="00BE5E19">
              <w:rPr>
                <w:rFonts w:ascii="Aptos" w:hAnsi="Aptos" w:cs="Calibri"/>
                <w:b/>
                <w:bCs/>
                <w:color w:val="000000"/>
                <w:sz w:val="18"/>
                <w:szCs w:val="18"/>
              </w:rPr>
              <w:t>175</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1631129B" w14:textId="696052B6"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(547)</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73A38C29" w14:textId="7FE20128"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(533)</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64450883" w14:textId="401272FE"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191</w:t>
            </w:r>
            <w:r>
              <w:rPr>
                <w:rFonts w:ascii="Aptos" w:hAnsi="Aptos" w:cs="Calibri"/>
                <w:b/>
                <w:bCs/>
                <w:color w:val="000000"/>
                <w:sz w:val="18"/>
                <w:szCs w:val="18"/>
              </w:rPr>
              <w:t>.</w:t>
            </w:r>
            <w:r w:rsidRPr="00BE5E19">
              <w:rPr>
                <w:rFonts w:ascii="Aptos" w:hAnsi="Aptos" w:cs="Calibri"/>
                <w:b/>
                <w:bCs/>
                <w:color w:val="000000"/>
                <w:sz w:val="18"/>
                <w:szCs w:val="18"/>
              </w:rPr>
              <w:t>846</w:t>
            </w:r>
          </w:p>
        </w:tc>
        <w:tc>
          <w:tcPr>
            <w:tcW w:w="891" w:type="dxa"/>
            <w:tcBorders>
              <w:top w:val="single" w:sz="4" w:space="0" w:color="385623" w:themeColor="accent6" w:themeShade="80"/>
              <w:bottom w:val="single" w:sz="4" w:space="0" w:color="385623" w:themeColor="accent6" w:themeShade="80"/>
            </w:tcBorders>
            <w:shd w:val="clear" w:color="auto" w:fill="E2EFD9"/>
            <w:noWrap/>
            <w:vAlign w:val="center"/>
          </w:tcPr>
          <w:p w14:paraId="4764811A" w14:textId="64B7BA83"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152</w:t>
            </w:r>
            <w:r>
              <w:rPr>
                <w:rFonts w:ascii="Aptos" w:hAnsi="Aptos" w:cs="Calibri"/>
                <w:b/>
                <w:bCs/>
                <w:color w:val="000000"/>
                <w:sz w:val="18"/>
                <w:szCs w:val="18"/>
              </w:rPr>
              <w:t>.</w:t>
            </w:r>
            <w:r w:rsidRPr="00BE5E19">
              <w:rPr>
                <w:rFonts w:ascii="Aptos" w:hAnsi="Aptos" w:cs="Calibri"/>
                <w:b/>
                <w:bCs/>
                <w:color w:val="000000"/>
                <w:sz w:val="18"/>
                <w:szCs w:val="18"/>
              </w:rPr>
              <w:t>549</w:t>
            </w:r>
          </w:p>
        </w:tc>
      </w:tr>
      <w:tr w:rsidR="0031446E" w:rsidRPr="00BE5E19" w14:paraId="71B1FED5" w14:textId="77777777" w:rsidTr="009E31E5">
        <w:trPr>
          <w:trHeight w:val="300"/>
        </w:trPr>
        <w:tc>
          <w:tcPr>
            <w:tcW w:w="3330" w:type="dxa"/>
            <w:tcBorders>
              <w:top w:val="single" w:sz="4" w:space="0" w:color="385623" w:themeColor="accent6" w:themeShade="80"/>
              <w:right w:val="single" w:sz="4" w:space="0" w:color="385623" w:themeColor="accent6" w:themeShade="80"/>
            </w:tcBorders>
            <w:noWrap/>
            <w:vAlign w:val="bottom"/>
          </w:tcPr>
          <w:p w14:paraId="6B0CA0F1" w14:textId="1BC8A9A6" w:rsidR="0031446E" w:rsidRPr="00BE5E19" w:rsidRDefault="0031446E" w:rsidP="0031446E">
            <w:pPr>
              <w:spacing w:before="20" w:after="20" w:line="240" w:lineRule="auto"/>
              <w:rPr>
                <w:rFonts w:ascii="Aptos" w:eastAsia="Times New Roman" w:hAnsi="Aptos" w:cs="Arial"/>
                <w:color w:val="000000"/>
                <w:sz w:val="18"/>
                <w:szCs w:val="18"/>
                <w:lang w:val="en-GB"/>
              </w:rPr>
            </w:pPr>
            <w:r w:rsidRPr="00FC6E57">
              <w:rPr>
                <w:rFonts w:cs="Calibri"/>
                <w:b/>
                <w:i/>
                <w:color w:val="000000"/>
                <w:sz w:val="18"/>
                <w:szCs w:val="18"/>
                <w:u w:val="single"/>
              </w:rPr>
              <w:t>Επανενσωμάτωση:</w:t>
            </w:r>
          </w:p>
        </w:tc>
        <w:tc>
          <w:tcPr>
            <w:tcW w:w="891" w:type="dxa"/>
            <w:tcBorders>
              <w:top w:val="single" w:sz="4" w:space="0" w:color="385623" w:themeColor="accent6" w:themeShade="80"/>
              <w:left w:val="single" w:sz="4" w:space="0" w:color="385623" w:themeColor="accent6" w:themeShade="80"/>
            </w:tcBorders>
            <w:noWrap/>
            <w:vAlign w:val="center"/>
          </w:tcPr>
          <w:p w14:paraId="5E872D1E" w14:textId="77777777" w:rsidR="0031446E" w:rsidRPr="00BE5E19" w:rsidRDefault="0031446E" w:rsidP="0031446E">
            <w:pPr>
              <w:spacing w:after="0"/>
              <w:jc w:val="right"/>
              <w:rPr>
                <w:rFonts w:ascii="Aptos" w:hAnsi="Aptos" w:cs="Calibri"/>
                <w:b/>
                <w:bCs/>
                <w:color w:val="000000"/>
                <w:sz w:val="18"/>
                <w:szCs w:val="18"/>
                <w:lang w:val="en-GB"/>
              </w:rPr>
            </w:pPr>
          </w:p>
        </w:tc>
        <w:tc>
          <w:tcPr>
            <w:tcW w:w="891" w:type="dxa"/>
            <w:tcBorders>
              <w:top w:val="single" w:sz="4" w:space="0" w:color="385623" w:themeColor="accent6" w:themeShade="80"/>
              <w:right w:val="single" w:sz="4" w:space="0" w:color="385623" w:themeColor="accent6" w:themeShade="80"/>
            </w:tcBorders>
            <w:noWrap/>
            <w:vAlign w:val="center"/>
          </w:tcPr>
          <w:p w14:paraId="02DAC393"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left w:val="single" w:sz="4" w:space="0" w:color="385623" w:themeColor="accent6" w:themeShade="80"/>
            </w:tcBorders>
            <w:noWrap/>
            <w:vAlign w:val="center"/>
          </w:tcPr>
          <w:p w14:paraId="1D8D928E"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right w:val="single" w:sz="4" w:space="0" w:color="385623" w:themeColor="accent6" w:themeShade="80"/>
            </w:tcBorders>
            <w:noWrap/>
            <w:vAlign w:val="center"/>
          </w:tcPr>
          <w:p w14:paraId="5B3C153F"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left w:val="single" w:sz="4" w:space="0" w:color="385623" w:themeColor="accent6" w:themeShade="80"/>
            </w:tcBorders>
            <w:noWrap/>
            <w:vAlign w:val="center"/>
          </w:tcPr>
          <w:p w14:paraId="2B08038E"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right w:val="single" w:sz="4" w:space="0" w:color="385623" w:themeColor="accent6" w:themeShade="80"/>
            </w:tcBorders>
            <w:noWrap/>
            <w:vAlign w:val="center"/>
          </w:tcPr>
          <w:p w14:paraId="6D7D271D"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left w:val="single" w:sz="4" w:space="0" w:color="385623" w:themeColor="accent6" w:themeShade="80"/>
            </w:tcBorders>
            <w:noWrap/>
            <w:vAlign w:val="center"/>
          </w:tcPr>
          <w:p w14:paraId="75527D24" w14:textId="77777777" w:rsidR="0031446E" w:rsidRPr="00BE5E19" w:rsidRDefault="0031446E" w:rsidP="0031446E">
            <w:pPr>
              <w:spacing w:after="0"/>
              <w:jc w:val="right"/>
              <w:rPr>
                <w:rFonts w:ascii="Aptos" w:hAnsi="Aptos"/>
                <w:sz w:val="20"/>
                <w:szCs w:val="20"/>
                <w:lang w:val="en-GB"/>
              </w:rPr>
            </w:pPr>
          </w:p>
        </w:tc>
        <w:tc>
          <w:tcPr>
            <w:tcW w:w="891" w:type="dxa"/>
            <w:tcBorders>
              <w:top w:val="single" w:sz="4" w:space="0" w:color="385623" w:themeColor="accent6" w:themeShade="80"/>
            </w:tcBorders>
            <w:noWrap/>
            <w:vAlign w:val="center"/>
          </w:tcPr>
          <w:p w14:paraId="7897C6C9" w14:textId="77777777" w:rsidR="0031446E" w:rsidRPr="00BE5E19" w:rsidRDefault="0031446E" w:rsidP="0031446E">
            <w:pPr>
              <w:spacing w:after="0"/>
              <w:jc w:val="right"/>
              <w:rPr>
                <w:rFonts w:ascii="Aptos" w:hAnsi="Aptos"/>
                <w:sz w:val="20"/>
                <w:szCs w:val="20"/>
                <w:lang w:val="en-GB"/>
              </w:rPr>
            </w:pPr>
          </w:p>
        </w:tc>
      </w:tr>
      <w:tr w:rsidR="0031446E" w:rsidRPr="00BE5E19" w14:paraId="6FC5C34F" w14:textId="77777777" w:rsidTr="009E31E5">
        <w:trPr>
          <w:trHeight w:val="300"/>
        </w:trPr>
        <w:tc>
          <w:tcPr>
            <w:tcW w:w="3330" w:type="dxa"/>
            <w:tcBorders>
              <w:right w:val="single" w:sz="4" w:space="0" w:color="385623" w:themeColor="accent6" w:themeShade="80"/>
            </w:tcBorders>
            <w:noWrap/>
            <w:vAlign w:val="bottom"/>
          </w:tcPr>
          <w:p w14:paraId="548A2E49" w14:textId="17FAA212" w:rsidR="0031446E" w:rsidRPr="00BE5E19" w:rsidRDefault="0031446E" w:rsidP="0031446E">
            <w:pPr>
              <w:spacing w:before="20" w:after="20" w:line="240" w:lineRule="auto"/>
              <w:rPr>
                <w:rFonts w:ascii="Aptos" w:eastAsia="Times New Roman" w:hAnsi="Aptos" w:cs="Arial"/>
                <w:color w:val="000000"/>
                <w:sz w:val="18"/>
                <w:szCs w:val="18"/>
                <w:lang w:val="en-GB"/>
              </w:rPr>
            </w:pPr>
            <w:r w:rsidRPr="00FC6E57">
              <w:rPr>
                <w:rFonts w:cs="Calibri"/>
                <w:color w:val="000000"/>
                <w:sz w:val="18"/>
                <w:szCs w:val="18"/>
              </w:rPr>
              <w:t>Συνολικές αποσβέσεις</w:t>
            </w:r>
          </w:p>
        </w:tc>
        <w:tc>
          <w:tcPr>
            <w:tcW w:w="891" w:type="dxa"/>
            <w:tcBorders>
              <w:left w:val="single" w:sz="4" w:space="0" w:color="385623" w:themeColor="accent6" w:themeShade="80"/>
            </w:tcBorders>
            <w:noWrap/>
            <w:vAlign w:val="center"/>
          </w:tcPr>
          <w:p w14:paraId="541E7891" w14:textId="36FFBD49"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17</w:t>
            </w:r>
            <w:r>
              <w:rPr>
                <w:rFonts w:ascii="Aptos" w:hAnsi="Aptos" w:cs="Calibri"/>
                <w:color w:val="000000"/>
                <w:sz w:val="18"/>
                <w:szCs w:val="18"/>
              </w:rPr>
              <w:t>.</w:t>
            </w:r>
            <w:r w:rsidRPr="00BE5E19">
              <w:rPr>
                <w:rFonts w:ascii="Aptos" w:hAnsi="Aptos" w:cs="Calibri"/>
                <w:color w:val="000000"/>
                <w:sz w:val="18"/>
                <w:szCs w:val="18"/>
              </w:rPr>
              <w:t>379</w:t>
            </w:r>
          </w:p>
        </w:tc>
        <w:tc>
          <w:tcPr>
            <w:tcW w:w="891" w:type="dxa"/>
            <w:tcBorders>
              <w:right w:val="single" w:sz="4" w:space="0" w:color="385623" w:themeColor="accent6" w:themeShade="80"/>
            </w:tcBorders>
            <w:noWrap/>
            <w:vAlign w:val="center"/>
          </w:tcPr>
          <w:p w14:paraId="3004288B" w14:textId="3B654D53"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12</w:t>
            </w:r>
            <w:r>
              <w:rPr>
                <w:rFonts w:ascii="Aptos" w:hAnsi="Aptos" w:cs="Calibri"/>
                <w:color w:val="000000"/>
                <w:sz w:val="18"/>
                <w:szCs w:val="18"/>
              </w:rPr>
              <w:t>.</w:t>
            </w:r>
            <w:r w:rsidRPr="00BE5E19">
              <w:rPr>
                <w:rFonts w:ascii="Aptos" w:hAnsi="Aptos" w:cs="Calibri"/>
                <w:color w:val="000000"/>
                <w:sz w:val="18"/>
                <w:szCs w:val="18"/>
              </w:rPr>
              <w:t>758</w:t>
            </w:r>
          </w:p>
        </w:tc>
        <w:tc>
          <w:tcPr>
            <w:tcW w:w="891" w:type="dxa"/>
            <w:tcBorders>
              <w:left w:val="single" w:sz="4" w:space="0" w:color="385623" w:themeColor="accent6" w:themeShade="80"/>
            </w:tcBorders>
            <w:noWrap/>
            <w:vAlign w:val="center"/>
          </w:tcPr>
          <w:p w14:paraId="2A943C7B" w14:textId="26AF3328"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6</w:t>
            </w:r>
            <w:r>
              <w:rPr>
                <w:rFonts w:ascii="Aptos" w:hAnsi="Aptos" w:cs="Calibri"/>
                <w:color w:val="000000"/>
                <w:sz w:val="18"/>
                <w:szCs w:val="18"/>
              </w:rPr>
              <w:t>.</w:t>
            </w:r>
            <w:r w:rsidRPr="00BE5E19">
              <w:rPr>
                <w:rFonts w:ascii="Aptos" w:hAnsi="Aptos" w:cs="Calibri"/>
                <w:color w:val="000000"/>
                <w:sz w:val="18"/>
                <w:szCs w:val="18"/>
              </w:rPr>
              <w:t>396</w:t>
            </w:r>
          </w:p>
        </w:tc>
        <w:tc>
          <w:tcPr>
            <w:tcW w:w="891" w:type="dxa"/>
            <w:tcBorders>
              <w:right w:val="single" w:sz="4" w:space="0" w:color="385623" w:themeColor="accent6" w:themeShade="80"/>
            </w:tcBorders>
            <w:noWrap/>
            <w:vAlign w:val="center"/>
          </w:tcPr>
          <w:p w14:paraId="13E10850" w14:textId="4CBB3324"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5</w:t>
            </w:r>
            <w:r>
              <w:rPr>
                <w:rFonts w:ascii="Aptos" w:hAnsi="Aptos" w:cs="Calibri"/>
                <w:color w:val="000000"/>
                <w:sz w:val="18"/>
                <w:szCs w:val="18"/>
              </w:rPr>
              <w:t>.</w:t>
            </w:r>
            <w:r w:rsidRPr="00BE5E19">
              <w:rPr>
                <w:rFonts w:ascii="Aptos" w:hAnsi="Aptos" w:cs="Calibri"/>
                <w:color w:val="000000"/>
                <w:sz w:val="18"/>
                <w:szCs w:val="18"/>
              </w:rPr>
              <w:t>634</w:t>
            </w:r>
          </w:p>
        </w:tc>
        <w:tc>
          <w:tcPr>
            <w:tcW w:w="891" w:type="dxa"/>
            <w:tcBorders>
              <w:left w:val="single" w:sz="4" w:space="0" w:color="385623" w:themeColor="accent6" w:themeShade="80"/>
            </w:tcBorders>
            <w:noWrap/>
            <w:vAlign w:val="center"/>
          </w:tcPr>
          <w:p w14:paraId="3B089F6F" w14:textId="7A0F6E0B"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9</w:t>
            </w:r>
          </w:p>
        </w:tc>
        <w:tc>
          <w:tcPr>
            <w:tcW w:w="891" w:type="dxa"/>
            <w:tcBorders>
              <w:right w:val="single" w:sz="4" w:space="0" w:color="385623" w:themeColor="accent6" w:themeShade="80"/>
            </w:tcBorders>
            <w:noWrap/>
            <w:vAlign w:val="center"/>
          </w:tcPr>
          <w:p w14:paraId="54D92BE8" w14:textId="4415B714"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6</w:t>
            </w:r>
          </w:p>
        </w:tc>
        <w:tc>
          <w:tcPr>
            <w:tcW w:w="891" w:type="dxa"/>
            <w:tcBorders>
              <w:left w:val="single" w:sz="4" w:space="0" w:color="385623" w:themeColor="accent6" w:themeShade="80"/>
            </w:tcBorders>
            <w:noWrap/>
            <w:vAlign w:val="center"/>
          </w:tcPr>
          <w:p w14:paraId="2A76412B" w14:textId="0356CC37"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23</w:t>
            </w:r>
            <w:r>
              <w:rPr>
                <w:rFonts w:ascii="Aptos" w:hAnsi="Aptos" w:cs="Calibri"/>
                <w:color w:val="000000"/>
                <w:sz w:val="18"/>
                <w:szCs w:val="18"/>
              </w:rPr>
              <w:t>.</w:t>
            </w:r>
            <w:r w:rsidRPr="00BE5E19">
              <w:rPr>
                <w:rFonts w:ascii="Aptos" w:hAnsi="Aptos" w:cs="Calibri"/>
                <w:color w:val="000000"/>
                <w:sz w:val="18"/>
                <w:szCs w:val="18"/>
              </w:rPr>
              <w:t>784</w:t>
            </w:r>
          </w:p>
        </w:tc>
        <w:tc>
          <w:tcPr>
            <w:tcW w:w="891" w:type="dxa"/>
            <w:noWrap/>
            <w:vAlign w:val="center"/>
          </w:tcPr>
          <w:p w14:paraId="15AED8F4" w14:textId="4C3127E9" w:rsidR="0031446E" w:rsidRPr="00BE5E19" w:rsidRDefault="0031446E" w:rsidP="0031446E">
            <w:pPr>
              <w:spacing w:after="0"/>
              <w:jc w:val="right"/>
              <w:rPr>
                <w:rFonts w:ascii="Aptos" w:hAnsi="Aptos" w:cs="Calibri"/>
                <w:color w:val="000000"/>
                <w:sz w:val="18"/>
                <w:szCs w:val="18"/>
                <w:lang w:val="en-GB"/>
              </w:rPr>
            </w:pPr>
            <w:r w:rsidRPr="00BE5E19">
              <w:rPr>
                <w:rFonts w:ascii="Aptos" w:hAnsi="Aptos" w:cs="Calibri"/>
                <w:color w:val="000000"/>
                <w:sz w:val="18"/>
                <w:szCs w:val="18"/>
              </w:rPr>
              <w:t>18</w:t>
            </w:r>
            <w:r>
              <w:rPr>
                <w:rFonts w:ascii="Aptos" w:hAnsi="Aptos" w:cs="Calibri"/>
                <w:color w:val="000000"/>
                <w:sz w:val="18"/>
                <w:szCs w:val="18"/>
              </w:rPr>
              <w:t>.</w:t>
            </w:r>
            <w:r w:rsidRPr="00BE5E19">
              <w:rPr>
                <w:rFonts w:ascii="Aptos" w:hAnsi="Aptos" w:cs="Calibri"/>
                <w:color w:val="000000"/>
                <w:sz w:val="18"/>
                <w:szCs w:val="18"/>
              </w:rPr>
              <w:t>398</w:t>
            </w:r>
          </w:p>
        </w:tc>
      </w:tr>
      <w:tr w:rsidR="0031446E" w:rsidRPr="00BE5E19" w14:paraId="6E191953" w14:textId="77777777" w:rsidTr="009E31E5">
        <w:trPr>
          <w:trHeight w:val="300"/>
        </w:trPr>
        <w:tc>
          <w:tcPr>
            <w:tcW w:w="3330"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vAlign w:val="bottom"/>
            <w:hideMark/>
          </w:tcPr>
          <w:p w14:paraId="10E29029" w14:textId="789EF7E9" w:rsidR="0031446E" w:rsidRPr="00BE5E19" w:rsidRDefault="0031446E" w:rsidP="0031446E">
            <w:pPr>
              <w:spacing w:before="20" w:after="20" w:line="240" w:lineRule="auto"/>
              <w:rPr>
                <w:rFonts w:ascii="Aptos" w:eastAsia="Times New Roman" w:hAnsi="Aptos" w:cs="Arial"/>
                <w:b/>
                <w:bCs/>
                <w:color w:val="000000"/>
                <w:sz w:val="18"/>
                <w:szCs w:val="18"/>
                <w:lang w:val="en-GB"/>
              </w:rPr>
            </w:pPr>
            <w:r w:rsidRPr="00FC6E57">
              <w:rPr>
                <w:rFonts w:eastAsia="Times New Roman" w:cs="Arial"/>
                <w:b/>
                <w:bCs/>
                <w:color w:val="000000"/>
                <w:sz w:val="18"/>
                <w:szCs w:val="18"/>
              </w:rPr>
              <w:t>Αναπροσαρμοσμένα EBITDA</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5EC11C15" w14:textId="774C6D6A"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164</w:t>
            </w:r>
            <w:r>
              <w:rPr>
                <w:rFonts w:ascii="Aptos" w:hAnsi="Aptos" w:cs="Calibri"/>
                <w:b/>
                <w:bCs/>
                <w:color w:val="000000"/>
                <w:sz w:val="18"/>
                <w:szCs w:val="18"/>
              </w:rPr>
              <w:t>.</w:t>
            </w:r>
            <w:r w:rsidRPr="00BE5E19">
              <w:rPr>
                <w:rFonts w:ascii="Aptos" w:hAnsi="Aptos" w:cs="Calibri"/>
                <w:b/>
                <w:bCs/>
                <w:color w:val="000000"/>
                <w:sz w:val="18"/>
                <w:szCs w:val="18"/>
              </w:rPr>
              <w:t>400</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315F2B65" w14:textId="0FF785DA"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120</w:t>
            </w:r>
            <w:r>
              <w:rPr>
                <w:rFonts w:ascii="Aptos" w:hAnsi="Aptos" w:cs="Calibri"/>
                <w:b/>
                <w:bCs/>
                <w:color w:val="000000"/>
                <w:sz w:val="18"/>
                <w:szCs w:val="18"/>
              </w:rPr>
              <w:t>.</w:t>
            </w:r>
            <w:r w:rsidRPr="00BE5E19">
              <w:rPr>
                <w:rFonts w:ascii="Aptos" w:hAnsi="Aptos" w:cs="Calibri"/>
                <w:b/>
                <w:bCs/>
                <w:color w:val="000000"/>
                <w:sz w:val="18"/>
                <w:szCs w:val="18"/>
              </w:rPr>
              <w:t>665</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2B108C66" w14:textId="024510AC"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51</w:t>
            </w:r>
            <w:r>
              <w:rPr>
                <w:rFonts w:ascii="Aptos" w:hAnsi="Aptos" w:cs="Calibri"/>
                <w:b/>
                <w:bCs/>
                <w:color w:val="000000"/>
                <w:sz w:val="18"/>
                <w:szCs w:val="18"/>
              </w:rPr>
              <w:t>.</w:t>
            </w:r>
            <w:r w:rsidRPr="00BE5E19">
              <w:rPr>
                <w:rFonts w:ascii="Aptos" w:hAnsi="Aptos" w:cs="Calibri"/>
                <w:b/>
                <w:bCs/>
                <w:color w:val="000000"/>
                <w:sz w:val="18"/>
                <w:szCs w:val="18"/>
              </w:rPr>
              <w:t>768</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34E6DC34" w14:textId="2675BC3E"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50</w:t>
            </w:r>
            <w:r>
              <w:rPr>
                <w:rFonts w:ascii="Aptos" w:hAnsi="Aptos" w:cs="Calibri"/>
                <w:b/>
                <w:bCs/>
                <w:color w:val="000000"/>
                <w:sz w:val="18"/>
                <w:szCs w:val="18"/>
              </w:rPr>
              <w:t>.</w:t>
            </w:r>
            <w:r w:rsidRPr="00BE5E19">
              <w:rPr>
                <w:rFonts w:ascii="Aptos" w:hAnsi="Aptos" w:cs="Calibri"/>
                <w:b/>
                <w:bCs/>
                <w:color w:val="000000"/>
                <w:sz w:val="18"/>
                <w:szCs w:val="18"/>
              </w:rPr>
              <w:t>809</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179A84BE" w14:textId="69275938"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(538)</w:t>
            </w:r>
          </w:p>
        </w:tc>
        <w:tc>
          <w:tcPr>
            <w:tcW w:w="891"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1DE33C4D" w14:textId="4E059A71"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(526)</w:t>
            </w:r>
          </w:p>
        </w:tc>
        <w:tc>
          <w:tcPr>
            <w:tcW w:w="891"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318D1031" w14:textId="74BDD91F"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215</w:t>
            </w:r>
            <w:r>
              <w:rPr>
                <w:rFonts w:ascii="Aptos" w:hAnsi="Aptos" w:cs="Calibri"/>
                <w:b/>
                <w:bCs/>
                <w:color w:val="000000"/>
                <w:sz w:val="18"/>
                <w:szCs w:val="18"/>
              </w:rPr>
              <w:t>.</w:t>
            </w:r>
            <w:r w:rsidRPr="00BE5E19">
              <w:rPr>
                <w:rFonts w:ascii="Aptos" w:hAnsi="Aptos" w:cs="Calibri"/>
                <w:b/>
                <w:bCs/>
                <w:color w:val="000000"/>
                <w:sz w:val="18"/>
                <w:szCs w:val="18"/>
              </w:rPr>
              <w:t>630</w:t>
            </w:r>
          </w:p>
        </w:tc>
        <w:tc>
          <w:tcPr>
            <w:tcW w:w="891" w:type="dxa"/>
            <w:tcBorders>
              <w:top w:val="single" w:sz="4" w:space="0" w:color="385623" w:themeColor="accent6" w:themeShade="80"/>
              <w:bottom w:val="single" w:sz="4" w:space="0" w:color="385623" w:themeColor="accent6" w:themeShade="80"/>
            </w:tcBorders>
            <w:shd w:val="clear" w:color="auto" w:fill="E2EFD9"/>
            <w:noWrap/>
            <w:vAlign w:val="center"/>
          </w:tcPr>
          <w:p w14:paraId="0BB306D0" w14:textId="475340F6" w:rsidR="0031446E" w:rsidRPr="00BE5E19" w:rsidRDefault="0031446E" w:rsidP="0031446E">
            <w:pPr>
              <w:spacing w:after="0"/>
              <w:jc w:val="right"/>
              <w:rPr>
                <w:rFonts w:ascii="Aptos" w:hAnsi="Aptos" w:cs="Calibri"/>
                <w:b/>
                <w:bCs/>
                <w:color w:val="000000"/>
                <w:sz w:val="18"/>
                <w:szCs w:val="18"/>
                <w:lang w:val="en-GB"/>
              </w:rPr>
            </w:pPr>
            <w:r w:rsidRPr="00BE5E19">
              <w:rPr>
                <w:rFonts w:ascii="Aptos" w:hAnsi="Aptos" w:cs="Calibri"/>
                <w:b/>
                <w:bCs/>
                <w:color w:val="000000"/>
                <w:sz w:val="18"/>
                <w:szCs w:val="18"/>
              </w:rPr>
              <w:t>170</w:t>
            </w:r>
            <w:r>
              <w:rPr>
                <w:rFonts w:ascii="Aptos" w:hAnsi="Aptos" w:cs="Calibri"/>
                <w:b/>
                <w:bCs/>
                <w:color w:val="000000"/>
                <w:sz w:val="18"/>
                <w:szCs w:val="18"/>
              </w:rPr>
              <w:t>.</w:t>
            </w:r>
            <w:r w:rsidRPr="00BE5E19">
              <w:rPr>
                <w:rFonts w:ascii="Aptos" w:hAnsi="Aptos" w:cs="Calibri"/>
                <w:b/>
                <w:bCs/>
                <w:color w:val="000000"/>
                <w:sz w:val="18"/>
                <w:szCs w:val="18"/>
              </w:rPr>
              <w:t>947</w:t>
            </w:r>
          </w:p>
        </w:tc>
      </w:tr>
    </w:tbl>
    <w:p w14:paraId="5756EA6E" w14:textId="24939E17" w:rsidR="00527AD3" w:rsidRPr="0031446E" w:rsidRDefault="0031446E" w:rsidP="005E0EB8">
      <w:pPr>
        <w:numPr>
          <w:ilvl w:val="0"/>
          <w:numId w:val="2"/>
        </w:numPr>
        <w:spacing w:after="0" w:line="240" w:lineRule="auto"/>
        <w:ind w:left="284" w:hanging="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 xml:space="preserve">Το αποτέλεσμα μετάλλου είναι η επίδραση στα αποτελέσματα που προκύπτει από διακυμάνσεις των τιμών αγοράς των υποκείμενων μετάλλων (σιδηρούχα και μη σιδηρούχα) που χρησιμοποιούν οι θυγατρικές της </w:t>
      </w:r>
      <w:r w:rsidRPr="0031446E">
        <w:rPr>
          <w:rFonts w:ascii="Aptos" w:eastAsia="Times New Roman" w:hAnsi="Aptos"/>
          <w:i/>
          <w:color w:val="000000"/>
          <w:sz w:val="17"/>
          <w:szCs w:val="17"/>
          <w:lang w:val="en-GB" w:eastAsia="el-GR"/>
        </w:rPr>
        <w:t>Cenergy</w:t>
      </w:r>
      <w:r w:rsidRPr="0031446E">
        <w:rPr>
          <w:rFonts w:ascii="Aptos" w:eastAsia="Times New Roman" w:hAnsi="Aptos"/>
          <w:i/>
          <w:color w:val="000000"/>
          <w:sz w:val="17"/>
          <w:szCs w:val="17"/>
          <w:lang w:eastAsia="el-GR"/>
        </w:rPr>
        <w:t xml:space="preserve"> </w:t>
      </w:r>
      <w:r w:rsidRPr="0031446E">
        <w:rPr>
          <w:rFonts w:ascii="Aptos" w:eastAsia="Times New Roman" w:hAnsi="Aptos"/>
          <w:i/>
          <w:color w:val="000000"/>
          <w:sz w:val="17"/>
          <w:szCs w:val="17"/>
          <w:lang w:val="en-GB" w:eastAsia="el-GR"/>
        </w:rPr>
        <w:t>Holdings</w:t>
      </w:r>
      <w:r w:rsidRPr="0031446E">
        <w:rPr>
          <w:rFonts w:ascii="Aptos" w:eastAsia="Times New Roman" w:hAnsi="Aptos"/>
          <w:i/>
          <w:color w:val="000000"/>
          <w:sz w:val="17"/>
          <w:szCs w:val="17"/>
          <w:lang w:eastAsia="el-GR"/>
        </w:rPr>
        <w:t xml:space="preserve"> ως πρώτες ύλες στις διαδικασίες παραγωγής του τελικού προϊόντος </w:t>
      </w:r>
      <w:r>
        <w:rPr>
          <w:rFonts w:ascii="Aptos" w:eastAsia="Times New Roman" w:hAnsi="Aptos"/>
          <w:i/>
          <w:color w:val="000000"/>
          <w:sz w:val="17"/>
          <w:szCs w:val="17"/>
          <w:lang w:eastAsia="el-GR"/>
        </w:rPr>
        <w:t>τους.</w:t>
      </w:r>
    </w:p>
    <w:p w14:paraId="7CDE7E54" w14:textId="77777777" w:rsidR="0031446E" w:rsidRPr="0031446E" w:rsidRDefault="0031446E" w:rsidP="005E0EB8">
      <w:pPr>
        <w:spacing w:after="0" w:line="240" w:lineRule="auto"/>
        <w:ind w:left="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Το αποτέλεσμα μετάλλου προκύπτει λόγω:</w:t>
      </w:r>
    </w:p>
    <w:p w14:paraId="7EA14676" w14:textId="77777777" w:rsidR="0031446E" w:rsidRPr="0031446E" w:rsidRDefault="0031446E" w:rsidP="005E0EB8">
      <w:pPr>
        <w:spacing w:after="0" w:line="240" w:lineRule="auto"/>
        <w:ind w:left="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val="en-GB" w:eastAsia="el-GR"/>
        </w:rPr>
        <w:t>i</w:t>
      </w: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eastAsia="el-GR"/>
        </w:rPr>
        <w:tab/>
        <w:t>του χρονικού διαστήματος που μεσολαβεί ανάμεσα στην τιμολόγηση των αγορών μετάλλων, την κατοχή και επεξεργασία των μετάλλων, και στην τιμολόγηση της πώλησης των τελικών αποθεμάτων στους πελάτες,</w:t>
      </w:r>
    </w:p>
    <w:p w14:paraId="0C191714" w14:textId="77777777" w:rsidR="0031446E" w:rsidRPr="0031446E" w:rsidRDefault="0031446E" w:rsidP="005E0EB8">
      <w:pPr>
        <w:spacing w:after="0" w:line="240" w:lineRule="auto"/>
        <w:ind w:left="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val="en-GB" w:eastAsia="el-GR"/>
        </w:rPr>
        <w:t>ii</w:t>
      </w: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eastAsia="el-GR"/>
        </w:rPr>
        <w:tab/>
        <w:t>της επίδρασης του υπολοίπου αποθεμάτων κατά την αρχή της περιόδου (το οποίο, με τη σειρά του, επηρεάζεται από τις τιμές μετάλλων των προηγούμενων περιόδων) στο ποσό που αναφέρεται ως Κόστος Πωληθέντων, λόγω της χρησιμοποιούμενης μεθόδου κοστολόγησης (π.χ. σταθμισμένος μέσος όρος),</w:t>
      </w:r>
    </w:p>
    <w:p w14:paraId="399717A2" w14:textId="77777777" w:rsidR="0031446E" w:rsidRPr="0031446E" w:rsidRDefault="0031446E" w:rsidP="005E0EB8">
      <w:pPr>
        <w:spacing w:after="0" w:line="240" w:lineRule="auto"/>
        <w:ind w:left="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val="en-GB" w:eastAsia="el-GR"/>
        </w:rPr>
        <w:t>iii</w:t>
      </w:r>
      <w:r w:rsidRPr="0031446E">
        <w:rPr>
          <w:rFonts w:ascii="Aptos" w:eastAsia="Times New Roman" w:hAnsi="Aptos"/>
          <w:i/>
          <w:color w:val="000000"/>
          <w:sz w:val="17"/>
          <w:szCs w:val="17"/>
          <w:lang w:eastAsia="el-GR"/>
        </w:rPr>
        <w:t>)</w:t>
      </w:r>
      <w:r w:rsidRPr="0031446E">
        <w:rPr>
          <w:rFonts w:ascii="Aptos" w:eastAsia="Times New Roman" w:hAnsi="Aptos"/>
          <w:i/>
          <w:color w:val="000000"/>
          <w:sz w:val="17"/>
          <w:szCs w:val="17"/>
          <w:lang w:eastAsia="el-GR"/>
        </w:rPr>
        <w:tab/>
        <w:t>ορισμένων συμβάσεων πελατών που περιέχουν δεσμεύσεις σταθερών τιμών και έχουν ως αποτέλεσμα την έκθεση σε μεταβολές των τιμών των μετάλλων για το χρονικό διάστημα από τη στιγμή που ορίζεται η τιμή πώλησης έως τη στιγμή της πραγματικής πώλησης.</w:t>
      </w:r>
    </w:p>
    <w:p w14:paraId="3B0F98F6" w14:textId="7472729F" w:rsidR="00527AD3" w:rsidRPr="0031446E" w:rsidRDefault="0031446E" w:rsidP="005E0EB8">
      <w:pPr>
        <w:spacing w:after="0" w:line="240" w:lineRule="auto"/>
        <w:ind w:left="284"/>
        <w:contextualSpacing/>
        <w:jc w:val="both"/>
        <w:rPr>
          <w:rFonts w:ascii="Aptos" w:eastAsia="Times New Roman" w:hAnsi="Aptos"/>
          <w:i/>
          <w:color w:val="000000"/>
          <w:sz w:val="17"/>
          <w:szCs w:val="17"/>
          <w:lang w:eastAsia="el-GR"/>
        </w:rPr>
      </w:pPr>
      <w:r w:rsidRPr="0031446E">
        <w:rPr>
          <w:rFonts w:ascii="Aptos" w:eastAsia="Times New Roman" w:hAnsi="Aptos"/>
          <w:i/>
          <w:color w:val="000000"/>
          <w:sz w:val="17"/>
          <w:szCs w:val="17"/>
          <w:lang w:eastAsia="el-GR"/>
        </w:rPr>
        <w:t>Οι θυγατρικές του τομέα καλωδίων χρησιμοποιούν παράλληλη αντιστοίχιση των αγορών και των πωλήσεων, ή παράγωγα μέσα, προκειμένου να ελαχιστοποιηθεί η επίδραση της υστέρησης τιμής μετάλλων στα αποτελέσματά τους. Ωστόσο, θα υπάρχει πάντα κάποια επίδραση (θετική ή αρνητική) στα αποτελέσματα, δεδομένου ότι στον τομέα καλωδίων μέρος των αποθεμάτων αντιμετωπίζεται ως πάγιο ενεργητικό και δεν αντισταθμίζεται. Στον τομέα των σωλήνων χάλυβα δεν είναι δυνατή η αντιστάθμιση εμπορευμάτων.</w:t>
      </w:r>
    </w:p>
    <w:p w14:paraId="67D04B26" w14:textId="77777777" w:rsidR="0031446E" w:rsidRDefault="0031446E">
      <w:pPr>
        <w:spacing w:after="0" w:line="240" w:lineRule="auto"/>
        <w:rPr>
          <w:rFonts w:ascii="Aptos" w:hAnsi="Aptos" w:cs="Calibri"/>
          <w:b/>
          <w:sz w:val="20"/>
          <w:szCs w:val="20"/>
          <w:u w:val="single"/>
          <w:lang w:eastAsia="x-none"/>
        </w:rPr>
      </w:pPr>
      <w:r>
        <w:rPr>
          <w:rFonts w:ascii="Aptos" w:hAnsi="Aptos" w:cs="Calibri"/>
          <w:b/>
          <w:sz w:val="20"/>
          <w:szCs w:val="20"/>
          <w:u w:val="single"/>
          <w:lang w:eastAsia="x-none"/>
        </w:rPr>
        <w:br w:type="page"/>
      </w:r>
    </w:p>
    <w:p w14:paraId="5807A66B" w14:textId="3D8E5265" w:rsidR="000829A8" w:rsidRPr="00BE5E19" w:rsidRDefault="0031446E" w:rsidP="006B321F">
      <w:pPr>
        <w:spacing w:after="120" w:line="240" w:lineRule="auto"/>
        <w:rPr>
          <w:rFonts w:ascii="Aptos" w:hAnsi="Aptos" w:cs="Calibri"/>
          <w:sz w:val="20"/>
          <w:szCs w:val="20"/>
          <w:lang w:val="en-GB" w:eastAsia="x-none"/>
        </w:rPr>
      </w:pPr>
      <w:r>
        <w:rPr>
          <w:rFonts w:ascii="Aptos" w:hAnsi="Aptos" w:cs="Calibri"/>
          <w:b/>
          <w:sz w:val="20"/>
          <w:szCs w:val="20"/>
          <w:u w:val="single"/>
          <w:lang w:eastAsia="x-none"/>
        </w:rPr>
        <w:lastRenderedPageBreak/>
        <w:t>Καθαρός δανεισμός</w:t>
      </w:r>
      <w:r w:rsidR="000829A8" w:rsidRPr="00BE5E19">
        <w:rPr>
          <w:rFonts w:ascii="Aptos" w:hAnsi="Aptos" w:cs="Calibri"/>
          <w:b/>
          <w:sz w:val="20"/>
          <w:szCs w:val="20"/>
          <w:u w:val="single"/>
          <w:lang w:val="en-GB" w:eastAsia="x-none"/>
        </w:rPr>
        <w:t>:</w:t>
      </w:r>
    </w:p>
    <w:tbl>
      <w:tblPr>
        <w:tblW w:w="10443"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blBorders>
        <w:tblLayout w:type="fixed"/>
        <w:tblLook w:val="04A0" w:firstRow="1" w:lastRow="0" w:firstColumn="1" w:lastColumn="0" w:noHBand="0" w:noVBand="1"/>
      </w:tblPr>
      <w:tblGrid>
        <w:gridCol w:w="2788"/>
        <w:gridCol w:w="956"/>
        <w:gridCol w:w="957"/>
        <w:gridCol w:w="957"/>
        <w:gridCol w:w="957"/>
        <w:gridCol w:w="957"/>
        <w:gridCol w:w="957"/>
        <w:gridCol w:w="957"/>
        <w:gridCol w:w="957"/>
      </w:tblGrid>
      <w:tr w:rsidR="0031446E" w:rsidRPr="00BE5E19" w14:paraId="71BA012E" w14:textId="77777777" w:rsidTr="00842565">
        <w:trPr>
          <w:trHeight w:val="300"/>
        </w:trPr>
        <w:tc>
          <w:tcPr>
            <w:tcW w:w="2788" w:type="dxa"/>
            <w:shd w:val="clear" w:color="auto" w:fill="476C2E"/>
            <w:noWrap/>
            <w:vAlign w:val="center"/>
            <w:hideMark/>
          </w:tcPr>
          <w:p w14:paraId="38882F5D" w14:textId="3A625672" w:rsidR="0031446E" w:rsidRPr="00BE5E19" w:rsidRDefault="0031446E" w:rsidP="005E0EB8">
            <w:pPr>
              <w:spacing w:after="0" w:line="240" w:lineRule="auto"/>
              <w:jc w:val="both"/>
              <w:rPr>
                <w:rFonts w:ascii="Aptos" w:eastAsia="Times New Roman" w:hAnsi="Aptos"/>
                <w:b/>
                <w:bCs/>
                <w:color w:val="FFFFFF"/>
                <w:sz w:val="20"/>
                <w:szCs w:val="20"/>
                <w:lang w:val="en-GB" w:eastAsia="el-GR"/>
              </w:rPr>
            </w:pPr>
            <w:r w:rsidRPr="00FC6E57">
              <w:rPr>
                <w:rFonts w:eastAsia="Times New Roman"/>
                <w:b/>
                <w:bCs/>
                <w:color w:val="FFFFFF"/>
                <w:sz w:val="18"/>
                <w:szCs w:val="18"/>
                <w:lang w:val="en-GB" w:eastAsia="el-GR"/>
              </w:rPr>
              <w:t> </w:t>
            </w:r>
          </w:p>
        </w:tc>
        <w:tc>
          <w:tcPr>
            <w:tcW w:w="1913" w:type="dxa"/>
            <w:gridSpan w:val="2"/>
            <w:shd w:val="clear" w:color="auto" w:fill="476C2E"/>
            <w:noWrap/>
            <w:vAlign w:val="center"/>
            <w:hideMark/>
          </w:tcPr>
          <w:p w14:paraId="5B8DCA1E" w14:textId="7EF9213E" w:rsidR="0031446E" w:rsidRPr="00BE5E19" w:rsidRDefault="0031446E" w:rsidP="005E0EB8">
            <w:pPr>
              <w:spacing w:after="0" w:line="240" w:lineRule="auto"/>
              <w:jc w:val="center"/>
              <w:rPr>
                <w:rFonts w:ascii="Aptos" w:eastAsia="Times New Roman" w:hAnsi="Aptos"/>
                <w:b/>
                <w:bCs/>
                <w:color w:val="FFFFFF"/>
                <w:sz w:val="20"/>
                <w:szCs w:val="20"/>
                <w:u w:val="single"/>
                <w:lang w:val="en-GB" w:eastAsia="el-GR"/>
              </w:rPr>
            </w:pPr>
            <w:r w:rsidRPr="00FC6E57">
              <w:rPr>
                <w:b/>
                <w:color w:val="FFFFFF"/>
                <w:sz w:val="18"/>
                <w:szCs w:val="18"/>
                <w:u w:val="single"/>
              </w:rPr>
              <w:t>Καλώδια</w:t>
            </w:r>
          </w:p>
        </w:tc>
        <w:tc>
          <w:tcPr>
            <w:tcW w:w="1914" w:type="dxa"/>
            <w:gridSpan w:val="2"/>
            <w:shd w:val="clear" w:color="auto" w:fill="476C2E"/>
            <w:noWrap/>
            <w:vAlign w:val="center"/>
            <w:hideMark/>
          </w:tcPr>
          <w:p w14:paraId="698FB7BD" w14:textId="7D9A6EBB" w:rsidR="0031446E" w:rsidRPr="00BE5E19" w:rsidRDefault="0031446E" w:rsidP="005E0EB8">
            <w:pPr>
              <w:spacing w:after="0" w:line="240" w:lineRule="auto"/>
              <w:jc w:val="center"/>
              <w:rPr>
                <w:rFonts w:ascii="Aptos" w:eastAsia="Times New Roman" w:hAnsi="Aptos"/>
                <w:b/>
                <w:bCs/>
                <w:color w:val="FFFFFF"/>
                <w:sz w:val="20"/>
                <w:szCs w:val="20"/>
                <w:u w:val="single"/>
                <w:lang w:val="en-GB" w:eastAsia="el-GR"/>
              </w:rPr>
            </w:pPr>
            <w:r w:rsidRPr="00FC6E57">
              <w:rPr>
                <w:b/>
                <w:color w:val="FFFFFF"/>
                <w:sz w:val="18"/>
                <w:szCs w:val="18"/>
                <w:u w:val="single"/>
              </w:rPr>
              <w:t>Σωλήνες χάλυβα</w:t>
            </w:r>
          </w:p>
        </w:tc>
        <w:tc>
          <w:tcPr>
            <w:tcW w:w="1914" w:type="dxa"/>
            <w:gridSpan w:val="2"/>
            <w:shd w:val="clear" w:color="auto" w:fill="476C2E"/>
            <w:noWrap/>
            <w:vAlign w:val="center"/>
            <w:hideMark/>
          </w:tcPr>
          <w:p w14:paraId="4988BB81" w14:textId="45562563" w:rsidR="0031446E" w:rsidRPr="00BE5E19" w:rsidRDefault="0031446E" w:rsidP="005E0EB8">
            <w:pPr>
              <w:spacing w:after="0" w:line="240" w:lineRule="auto"/>
              <w:jc w:val="center"/>
              <w:rPr>
                <w:rFonts w:ascii="Aptos" w:eastAsia="Times New Roman" w:hAnsi="Aptos"/>
                <w:b/>
                <w:bCs/>
                <w:color w:val="FFFFFF"/>
                <w:sz w:val="20"/>
                <w:szCs w:val="20"/>
                <w:u w:val="single"/>
                <w:lang w:val="en-GB" w:eastAsia="el-GR"/>
              </w:rPr>
            </w:pPr>
            <w:r w:rsidRPr="00FC6E57">
              <w:rPr>
                <w:b/>
                <w:color w:val="FFFFFF"/>
                <w:sz w:val="18"/>
                <w:szCs w:val="18"/>
                <w:u w:val="single"/>
              </w:rPr>
              <w:t>Λοιπές δραστηριότητες</w:t>
            </w:r>
          </w:p>
        </w:tc>
        <w:tc>
          <w:tcPr>
            <w:tcW w:w="1914" w:type="dxa"/>
            <w:gridSpan w:val="2"/>
            <w:shd w:val="clear" w:color="auto" w:fill="476C2E"/>
            <w:noWrap/>
            <w:vAlign w:val="center"/>
            <w:hideMark/>
          </w:tcPr>
          <w:p w14:paraId="1D8E28A5" w14:textId="35DD685C" w:rsidR="0031446E" w:rsidRPr="00BE5E19" w:rsidRDefault="0031446E" w:rsidP="005E0EB8">
            <w:pPr>
              <w:spacing w:after="0" w:line="240" w:lineRule="auto"/>
              <w:jc w:val="center"/>
              <w:rPr>
                <w:rFonts w:ascii="Aptos" w:eastAsia="Times New Roman" w:hAnsi="Aptos"/>
                <w:b/>
                <w:bCs/>
                <w:color w:val="FFFFFF"/>
                <w:sz w:val="20"/>
                <w:szCs w:val="20"/>
                <w:lang w:val="en-GB" w:eastAsia="el-GR"/>
              </w:rPr>
            </w:pPr>
            <w:r w:rsidRPr="00FC6E57">
              <w:rPr>
                <w:b/>
                <w:color w:val="FFFFFF"/>
                <w:sz w:val="18"/>
                <w:szCs w:val="18"/>
                <w:u w:val="single"/>
              </w:rPr>
              <w:t>Σύνολο</w:t>
            </w:r>
          </w:p>
        </w:tc>
      </w:tr>
      <w:tr w:rsidR="00812A23" w:rsidRPr="00BE5E19" w14:paraId="5D40007C" w14:textId="77777777" w:rsidTr="00842565">
        <w:trPr>
          <w:trHeight w:val="300"/>
        </w:trPr>
        <w:tc>
          <w:tcPr>
            <w:tcW w:w="2788" w:type="dxa"/>
            <w:shd w:val="clear" w:color="auto" w:fill="476C2E"/>
            <w:noWrap/>
            <w:vAlign w:val="center"/>
            <w:hideMark/>
          </w:tcPr>
          <w:p w14:paraId="07CC273E" w14:textId="41D98C66" w:rsidR="00812A23" w:rsidRPr="00BE5E19" w:rsidRDefault="00812A23" w:rsidP="005E0EB8">
            <w:pPr>
              <w:spacing w:after="0" w:line="240" w:lineRule="auto"/>
              <w:jc w:val="both"/>
              <w:rPr>
                <w:rFonts w:ascii="Aptos" w:eastAsia="Times New Roman" w:hAnsi="Aptos"/>
                <w:b/>
                <w:bCs/>
                <w:color w:val="FFFFFF"/>
                <w:sz w:val="20"/>
                <w:szCs w:val="20"/>
                <w:lang w:val="en-GB" w:eastAsia="el-GR"/>
              </w:rPr>
            </w:pPr>
            <w:r w:rsidRPr="00FC6E57">
              <w:rPr>
                <w:rFonts w:eastAsia="Times New Roman"/>
                <w:b/>
                <w:bCs/>
                <w:color w:val="FFFFFF"/>
                <w:sz w:val="18"/>
                <w:szCs w:val="18"/>
                <w:lang w:eastAsia="el-GR"/>
              </w:rPr>
              <w:t>Ποσά σε χιλιάδες ευρώ</w:t>
            </w:r>
          </w:p>
        </w:tc>
        <w:tc>
          <w:tcPr>
            <w:tcW w:w="956" w:type="dxa"/>
            <w:tcBorders>
              <w:bottom w:val="nil"/>
            </w:tcBorders>
            <w:shd w:val="clear" w:color="auto" w:fill="476C2E"/>
            <w:noWrap/>
            <w:vAlign w:val="center"/>
          </w:tcPr>
          <w:p w14:paraId="3E0A2DCC" w14:textId="0EAA0B6F" w:rsidR="00812A23" w:rsidRPr="0031446E" w:rsidRDefault="00812A23" w:rsidP="005E0EB8">
            <w:pPr>
              <w:spacing w:after="0" w:line="240" w:lineRule="auto"/>
              <w:jc w:val="right"/>
              <w:rPr>
                <w:rFonts w:ascii="Aptos" w:hAnsi="Aptos" w:cs="Arial"/>
                <w:b/>
                <w:bCs/>
                <w:color w:val="FFFFFF"/>
                <w:sz w:val="20"/>
                <w:szCs w:val="20"/>
              </w:rPr>
            </w:pPr>
            <w:r w:rsidRPr="00FC6E57">
              <w:rPr>
                <w:rFonts w:cs="Arial"/>
                <w:b/>
                <w:bCs/>
                <w:color w:val="FFFFFF"/>
                <w:sz w:val="18"/>
                <w:szCs w:val="18"/>
                <w:lang w:val="en-GB"/>
              </w:rPr>
              <w:t xml:space="preserve">30 </w:t>
            </w:r>
            <w:r w:rsidRPr="00FC6E57">
              <w:rPr>
                <w:rFonts w:cs="Arial"/>
                <w:b/>
                <w:bCs/>
                <w:color w:val="FFFFFF"/>
                <w:sz w:val="18"/>
                <w:szCs w:val="18"/>
              </w:rPr>
              <w:t>Ιουν</w:t>
            </w:r>
            <w:r w:rsidRPr="00FC6E57">
              <w:rPr>
                <w:rFonts w:cs="Arial"/>
                <w:b/>
                <w:bCs/>
                <w:color w:val="FFFFFF"/>
                <w:sz w:val="18"/>
                <w:szCs w:val="18"/>
                <w:lang w:val="en-GB"/>
              </w:rPr>
              <w:t xml:space="preserve"> 202</w:t>
            </w:r>
            <w:r>
              <w:rPr>
                <w:rFonts w:cs="Arial"/>
                <w:b/>
                <w:bCs/>
                <w:color w:val="FFFFFF"/>
                <w:sz w:val="18"/>
                <w:szCs w:val="18"/>
              </w:rPr>
              <w:t>6</w:t>
            </w:r>
          </w:p>
        </w:tc>
        <w:tc>
          <w:tcPr>
            <w:tcW w:w="957" w:type="dxa"/>
            <w:tcBorders>
              <w:bottom w:val="nil"/>
            </w:tcBorders>
            <w:shd w:val="clear" w:color="auto" w:fill="476C2E"/>
            <w:noWrap/>
            <w:vAlign w:val="center"/>
            <w:hideMark/>
          </w:tcPr>
          <w:p w14:paraId="278BAE66" w14:textId="137A5DFB" w:rsidR="00812A23" w:rsidRPr="0031446E" w:rsidRDefault="00812A23" w:rsidP="005E0EB8">
            <w:pPr>
              <w:spacing w:after="0" w:line="240" w:lineRule="auto"/>
              <w:jc w:val="right"/>
              <w:rPr>
                <w:rFonts w:ascii="Aptos" w:hAnsi="Aptos" w:cs="Arial"/>
                <w:b/>
                <w:bCs/>
                <w:color w:val="FFFFFF"/>
                <w:sz w:val="20"/>
                <w:szCs w:val="20"/>
              </w:rPr>
            </w:pPr>
            <w:r w:rsidRPr="00FC6E57">
              <w:rPr>
                <w:rFonts w:cs="Arial"/>
                <w:b/>
                <w:bCs/>
                <w:color w:val="FFFFFF"/>
                <w:sz w:val="18"/>
                <w:szCs w:val="18"/>
                <w:lang w:val="en-GB"/>
              </w:rPr>
              <w:t xml:space="preserve">31 </w:t>
            </w:r>
            <w:r w:rsidRPr="00FC6E57">
              <w:rPr>
                <w:rFonts w:cs="Arial"/>
                <w:b/>
                <w:bCs/>
                <w:color w:val="FFFFFF"/>
                <w:sz w:val="18"/>
                <w:szCs w:val="18"/>
              </w:rPr>
              <w:t>Δεκ</w:t>
            </w:r>
            <w:r w:rsidRPr="00FC6E57">
              <w:rPr>
                <w:rFonts w:cs="Arial"/>
                <w:b/>
                <w:bCs/>
                <w:color w:val="FFFFFF"/>
                <w:sz w:val="18"/>
                <w:szCs w:val="18"/>
                <w:lang w:val="en-GB"/>
              </w:rPr>
              <w:t xml:space="preserve"> 202</w:t>
            </w:r>
            <w:r>
              <w:rPr>
                <w:rFonts w:cs="Arial"/>
                <w:b/>
                <w:bCs/>
                <w:color w:val="FFFFFF"/>
                <w:sz w:val="18"/>
                <w:szCs w:val="18"/>
              </w:rPr>
              <w:t>5</w:t>
            </w:r>
          </w:p>
        </w:tc>
        <w:tc>
          <w:tcPr>
            <w:tcW w:w="957" w:type="dxa"/>
            <w:shd w:val="clear" w:color="auto" w:fill="476C2E"/>
            <w:noWrap/>
            <w:vAlign w:val="center"/>
          </w:tcPr>
          <w:p w14:paraId="34AE36E1" w14:textId="7C4234F2" w:rsidR="00812A23" w:rsidRPr="0031446E" w:rsidRDefault="00812A23" w:rsidP="005E0EB8">
            <w:pPr>
              <w:spacing w:after="0" w:line="240" w:lineRule="auto"/>
              <w:jc w:val="right"/>
              <w:rPr>
                <w:rFonts w:ascii="Aptos" w:hAnsi="Aptos" w:cs="Arial"/>
                <w:b/>
                <w:bCs/>
                <w:color w:val="FFFFFF"/>
                <w:sz w:val="20"/>
                <w:szCs w:val="20"/>
              </w:rPr>
            </w:pPr>
            <w:r w:rsidRPr="00FC6E57">
              <w:rPr>
                <w:rFonts w:cs="Arial"/>
                <w:b/>
                <w:bCs/>
                <w:color w:val="FFFFFF"/>
                <w:sz w:val="18"/>
                <w:szCs w:val="18"/>
                <w:lang w:val="en-GB"/>
              </w:rPr>
              <w:t xml:space="preserve">30 </w:t>
            </w:r>
            <w:r w:rsidRPr="00FC6E57">
              <w:rPr>
                <w:rFonts w:cs="Arial"/>
                <w:b/>
                <w:bCs/>
                <w:color w:val="FFFFFF"/>
                <w:sz w:val="18"/>
                <w:szCs w:val="18"/>
              </w:rPr>
              <w:t>Ιουν</w:t>
            </w:r>
            <w:r w:rsidRPr="00FC6E57">
              <w:rPr>
                <w:rFonts w:cs="Arial"/>
                <w:b/>
                <w:bCs/>
                <w:color w:val="FFFFFF"/>
                <w:sz w:val="18"/>
                <w:szCs w:val="18"/>
                <w:lang w:val="en-GB"/>
              </w:rPr>
              <w:t xml:space="preserve"> 202</w:t>
            </w:r>
            <w:r>
              <w:rPr>
                <w:rFonts w:cs="Arial"/>
                <w:b/>
                <w:bCs/>
                <w:color w:val="FFFFFF"/>
                <w:sz w:val="18"/>
                <w:szCs w:val="18"/>
              </w:rPr>
              <w:t>6</w:t>
            </w:r>
          </w:p>
        </w:tc>
        <w:tc>
          <w:tcPr>
            <w:tcW w:w="957" w:type="dxa"/>
            <w:shd w:val="clear" w:color="auto" w:fill="476C2E"/>
            <w:noWrap/>
            <w:vAlign w:val="center"/>
            <w:hideMark/>
          </w:tcPr>
          <w:p w14:paraId="1A7C1594" w14:textId="0956AE19" w:rsidR="00812A23" w:rsidRPr="0031446E" w:rsidRDefault="00812A23" w:rsidP="005E0EB8">
            <w:pPr>
              <w:spacing w:after="0" w:line="240" w:lineRule="auto"/>
              <w:jc w:val="right"/>
              <w:rPr>
                <w:rFonts w:ascii="Aptos" w:hAnsi="Aptos" w:cs="Arial"/>
                <w:b/>
                <w:bCs/>
                <w:color w:val="FFFFFF"/>
                <w:sz w:val="20"/>
                <w:szCs w:val="20"/>
              </w:rPr>
            </w:pPr>
            <w:r w:rsidRPr="00FC6E57">
              <w:rPr>
                <w:rFonts w:cs="Arial"/>
                <w:b/>
                <w:bCs/>
                <w:color w:val="FFFFFF"/>
                <w:sz w:val="18"/>
                <w:szCs w:val="18"/>
                <w:lang w:val="en-GB"/>
              </w:rPr>
              <w:t xml:space="preserve">31 </w:t>
            </w:r>
            <w:r w:rsidRPr="00FC6E57">
              <w:rPr>
                <w:rFonts w:cs="Arial"/>
                <w:b/>
                <w:bCs/>
                <w:color w:val="FFFFFF"/>
                <w:sz w:val="18"/>
                <w:szCs w:val="18"/>
              </w:rPr>
              <w:t>Δεκ</w:t>
            </w:r>
            <w:r w:rsidRPr="00FC6E57">
              <w:rPr>
                <w:rFonts w:cs="Arial"/>
                <w:b/>
                <w:bCs/>
                <w:color w:val="FFFFFF"/>
                <w:sz w:val="18"/>
                <w:szCs w:val="18"/>
                <w:lang w:val="en-GB"/>
              </w:rPr>
              <w:t xml:space="preserve"> 202</w:t>
            </w:r>
            <w:r>
              <w:rPr>
                <w:rFonts w:cs="Arial"/>
                <w:b/>
                <w:bCs/>
                <w:color w:val="FFFFFF"/>
                <w:sz w:val="18"/>
                <w:szCs w:val="18"/>
              </w:rPr>
              <w:t>5</w:t>
            </w:r>
          </w:p>
        </w:tc>
        <w:tc>
          <w:tcPr>
            <w:tcW w:w="957" w:type="dxa"/>
            <w:tcBorders>
              <w:bottom w:val="nil"/>
            </w:tcBorders>
            <w:shd w:val="clear" w:color="auto" w:fill="476C2E"/>
            <w:noWrap/>
            <w:vAlign w:val="center"/>
          </w:tcPr>
          <w:p w14:paraId="25549F51" w14:textId="7636CEFE" w:rsidR="00812A23" w:rsidRPr="00BE5E19" w:rsidRDefault="00812A23" w:rsidP="005E0EB8">
            <w:pPr>
              <w:spacing w:after="0" w:line="240" w:lineRule="auto"/>
              <w:jc w:val="right"/>
              <w:rPr>
                <w:rFonts w:ascii="Aptos" w:hAnsi="Aptos" w:cs="Arial"/>
                <w:b/>
                <w:bCs/>
                <w:color w:val="FFFFFF"/>
                <w:sz w:val="20"/>
                <w:szCs w:val="20"/>
                <w:lang w:val="en-GB"/>
              </w:rPr>
            </w:pPr>
            <w:r w:rsidRPr="00FC6E57">
              <w:rPr>
                <w:rFonts w:cs="Arial"/>
                <w:b/>
                <w:bCs/>
                <w:color w:val="FFFFFF"/>
                <w:sz w:val="18"/>
                <w:szCs w:val="18"/>
                <w:lang w:val="en-GB"/>
              </w:rPr>
              <w:t xml:space="preserve">30 </w:t>
            </w:r>
            <w:r w:rsidRPr="00FC6E57">
              <w:rPr>
                <w:rFonts w:cs="Arial"/>
                <w:b/>
                <w:bCs/>
                <w:color w:val="FFFFFF"/>
                <w:sz w:val="18"/>
                <w:szCs w:val="18"/>
              </w:rPr>
              <w:t>Ιουν</w:t>
            </w:r>
            <w:r w:rsidRPr="00FC6E57">
              <w:rPr>
                <w:rFonts w:cs="Arial"/>
                <w:b/>
                <w:bCs/>
                <w:color w:val="FFFFFF"/>
                <w:sz w:val="18"/>
                <w:szCs w:val="18"/>
                <w:lang w:val="en-GB"/>
              </w:rPr>
              <w:t xml:space="preserve"> 202</w:t>
            </w:r>
            <w:r>
              <w:rPr>
                <w:rFonts w:cs="Arial"/>
                <w:b/>
                <w:bCs/>
                <w:color w:val="FFFFFF"/>
                <w:sz w:val="18"/>
                <w:szCs w:val="18"/>
              </w:rPr>
              <w:t>6</w:t>
            </w:r>
          </w:p>
        </w:tc>
        <w:tc>
          <w:tcPr>
            <w:tcW w:w="957" w:type="dxa"/>
            <w:tcBorders>
              <w:bottom w:val="nil"/>
            </w:tcBorders>
            <w:shd w:val="clear" w:color="auto" w:fill="476C2E"/>
            <w:noWrap/>
            <w:vAlign w:val="center"/>
            <w:hideMark/>
          </w:tcPr>
          <w:p w14:paraId="3A70A404" w14:textId="07C8437D" w:rsidR="00812A23" w:rsidRPr="00BE5E19" w:rsidRDefault="00812A23" w:rsidP="005E0EB8">
            <w:pPr>
              <w:spacing w:after="0" w:line="240" w:lineRule="auto"/>
              <w:jc w:val="right"/>
              <w:rPr>
                <w:rFonts w:ascii="Aptos" w:hAnsi="Aptos" w:cs="Arial"/>
                <w:b/>
                <w:bCs/>
                <w:color w:val="FFFFFF"/>
                <w:sz w:val="20"/>
                <w:szCs w:val="20"/>
                <w:lang w:val="en-GB"/>
              </w:rPr>
            </w:pPr>
            <w:r w:rsidRPr="00FC6E57">
              <w:rPr>
                <w:rFonts w:cs="Arial"/>
                <w:b/>
                <w:bCs/>
                <w:color w:val="FFFFFF"/>
                <w:sz w:val="18"/>
                <w:szCs w:val="18"/>
                <w:lang w:val="en-GB"/>
              </w:rPr>
              <w:t xml:space="preserve">31 </w:t>
            </w:r>
            <w:r w:rsidRPr="00FC6E57">
              <w:rPr>
                <w:rFonts w:cs="Arial"/>
                <w:b/>
                <w:bCs/>
                <w:color w:val="FFFFFF"/>
                <w:sz w:val="18"/>
                <w:szCs w:val="18"/>
              </w:rPr>
              <w:t>Δεκ</w:t>
            </w:r>
            <w:r w:rsidRPr="00FC6E57">
              <w:rPr>
                <w:rFonts w:cs="Arial"/>
                <w:b/>
                <w:bCs/>
                <w:color w:val="FFFFFF"/>
                <w:sz w:val="18"/>
                <w:szCs w:val="18"/>
                <w:lang w:val="en-GB"/>
              </w:rPr>
              <w:t xml:space="preserve"> 202</w:t>
            </w:r>
            <w:r>
              <w:rPr>
                <w:rFonts w:cs="Arial"/>
                <w:b/>
                <w:bCs/>
                <w:color w:val="FFFFFF"/>
                <w:sz w:val="18"/>
                <w:szCs w:val="18"/>
              </w:rPr>
              <w:t>5</w:t>
            </w:r>
          </w:p>
        </w:tc>
        <w:tc>
          <w:tcPr>
            <w:tcW w:w="957" w:type="dxa"/>
            <w:shd w:val="clear" w:color="auto" w:fill="476C2E"/>
            <w:noWrap/>
            <w:vAlign w:val="center"/>
            <w:hideMark/>
          </w:tcPr>
          <w:p w14:paraId="0E511322" w14:textId="4C8753FE" w:rsidR="00812A23" w:rsidRPr="00BE5E19" w:rsidRDefault="00812A23" w:rsidP="005E0EB8">
            <w:pPr>
              <w:spacing w:after="0" w:line="240" w:lineRule="auto"/>
              <w:jc w:val="right"/>
              <w:rPr>
                <w:rFonts w:ascii="Aptos" w:hAnsi="Aptos" w:cs="Arial"/>
                <w:b/>
                <w:bCs/>
                <w:color w:val="FFFFFF"/>
                <w:sz w:val="20"/>
                <w:szCs w:val="20"/>
                <w:lang w:val="en-GB"/>
              </w:rPr>
            </w:pPr>
            <w:r w:rsidRPr="00FC6E57">
              <w:rPr>
                <w:rFonts w:cs="Arial"/>
                <w:b/>
                <w:bCs/>
                <w:color w:val="FFFFFF"/>
                <w:sz w:val="18"/>
                <w:szCs w:val="18"/>
                <w:lang w:val="en-GB"/>
              </w:rPr>
              <w:t xml:space="preserve">30 </w:t>
            </w:r>
            <w:r w:rsidRPr="00FC6E57">
              <w:rPr>
                <w:rFonts w:cs="Arial"/>
                <w:b/>
                <w:bCs/>
                <w:color w:val="FFFFFF"/>
                <w:sz w:val="18"/>
                <w:szCs w:val="18"/>
              </w:rPr>
              <w:t>Ιουν</w:t>
            </w:r>
            <w:r w:rsidRPr="00FC6E57">
              <w:rPr>
                <w:rFonts w:cs="Arial"/>
                <w:b/>
                <w:bCs/>
                <w:color w:val="FFFFFF"/>
                <w:sz w:val="18"/>
                <w:szCs w:val="18"/>
                <w:lang w:val="en-GB"/>
              </w:rPr>
              <w:t xml:space="preserve"> 202</w:t>
            </w:r>
            <w:r>
              <w:rPr>
                <w:rFonts w:cs="Arial"/>
                <w:b/>
                <w:bCs/>
                <w:color w:val="FFFFFF"/>
                <w:sz w:val="18"/>
                <w:szCs w:val="18"/>
              </w:rPr>
              <w:t>6</w:t>
            </w:r>
          </w:p>
        </w:tc>
        <w:tc>
          <w:tcPr>
            <w:tcW w:w="957" w:type="dxa"/>
            <w:shd w:val="clear" w:color="auto" w:fill="476C2E"/>
            <w:noWrap/>
            <w:vAlign w:val="center"/>
            <w:hideMark/>
          </w:tcPr>
          <w:p w14:paraId="5757C57C" w14:textId="773232F0" w:rsidR="00812A23" w:rsidRPr="00BE5E19" w:rsidRDefault="00812A23" w:rsidP="005E0EB8">
            <w:pPr>
              <w:spacing w:after="0" w:line="240" w:lineRule="auto"/>
              <w:jc w:val="right"/>
              <w:rPr>
                <w:rFonts w:ascii="Aptos" w:hAnsi="Aptos" w:cs="Arial"/>
                <w:b/>
                <w:bCs/>
                <w:color w:val="FFFFFF"/>
                <w:sz w:val="20"/>
                <w:szCs w:val="20"/>
                <w:lang w:val="en-GB"/>
              </w:rPr>
            </w:pPr>
            <w:r w:rsidRPr="00FC6E57">
              <w:rPr>
                <w:rFonts w:cs="Arial"/>
                <w:b/>
                <w:bCs/>
                <w:color w:val="FFFFFF"/>
                <w:sz w:val="18"/>
                <w:szCs w:val="18"/>
                <w:lang w:val="en-GB"/>
              </w:rPr>
              <w:t xml:space="preserve">31 </w:t>
            </w:r>
            <w:r w:rsidRPr="00FC6E57">
              <w:rPr>
                <w:rFonts w:cs="Arial"/>
                <w:b/>
                <w:bCs/>
                <w:color w:val="FFFFFF"/>
                <w:sz w:val="18"/>
                <w:szCs w:val="18"/>
              </w:rPr>
              <w:t>Δεκ</w:t>
            </w:r>
            <w:r w:rsidRPr="00FC6E57">
              <w:rPr>
                <w:rFonts w:cs="Arial"/>
                <w:b/>
                <w:bCs/>
                <w:color w:val="FFFFFF"/>
                <w:sz w:val="18"/>
                <w:szCs w:val="18"/>
                <w:lang w:val="en-GB"/>
              </w:rPr>
              <w:t xml:space="preserve"> 202</w:t>
            </w:r>
            <w:r>
              <w:rPr>
                <w:rFonts w:cs="Arial"/>
                <w:b/>
                <w:bCs/>
                <w:color w:val="FFFFFF"/>
                <w:sz w:val="18"/>
                <w:szCs w:val="18"/>
              </w:rPr>
              <w:t>5</w:t>
            </w:r>
          </w:p>
        </w:tc>
      </w:tr>
      <w:tr w:rsidR="00812A23" w:rsidRPr="00BE5E19" w14:paraId="0C709E53" w14:textId="77777777" w:rsidTr="004F59F4">
        <w:trPr>
          <w:trHeight w:val="375"/>
        </w:trPr>
        <w:tc>
          <w:tcPr>
            <w:tcW w:w="2788" w:type="dxa"/>
            <w:tcBorders>
              <w:right w:val="single" w:sz="4" w:space="0" w:color="385623" w:themeColor="accent6" w:themeShade="80"/>
            </w:tcBorders>
            <w:noWrap/>
            <w:vAlign w:val="bottom"/>
            <w:hideMark/>
          </w:tcPr>
          <w:p w14:paraId="7B5F7819" w14:textId="4ED9C275" w:rsidR="00812A23" w:rsidRPr="00812A23" w:rsidRDefault="00812A23" w:rsidP="005E0EB8">
            <w:pPr>
              <w:spacing w:after="0" w:line="240" w:lineRule="auto"/>
              <w:rPr>
                <w:rFonts w:ascii="Aptos" w:eastAsia="Times New Roman" w:hAnsi="Aptos"/>
                <w:color w:val="000000"/>
                <w:sz w:val="18"/>
                <w:szCs w:val="18"/>
                <w:lang w:eastAsia="el-GR"/>
              </w:rPr>
            </w:pPr>
            <w:r w:rsidRPr="00FC6E57">
              <w:rPr>
                <w:rFonts w:eastAsia="Times New Roman"/>
                <w:color w:val="000000"/>
                <w:sz w:val="18"/>
                <w:szCs w:val="18"/>
                <w:lang w:eastAsia="el-GR"/>
              </w:rPr>
              <w:t>Μακροπρόθεσμα δάνεια και υποχρεώσεις από μισθώσεις</w:t>
            </w:r>
          </w:p>
        </w:tc>
        <w:tc>
          <w:tcPr>
            <w:tcW w:w="956" w:type="dxa"/>
            <w:tcBorders>
              <w:top w:val="nil"/>
              <w:left w:val="single" w:sz="4" w:space="0" w:color="385623" w:themeColor="accent6" w:themeShade="80"/>
            </w:tcBorders>
            <w:noWrap/>
            <w:vAlign w:val="center"/>
          </w:tcPr>
          <w:p w14:paraId="188F5C3B" w14:textId="2839E2B9"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186</w:t>
            </w:r>
            <w:r>
              <w:rPr>
                <w:rFonts w:ascii="Aptos" w:hAnsi="Aptos" w:cs="Calibri"/>
                <w:color w:val="000000"/>
                <w:sz w:val="18"/>
                <w:szCs w:val="18"/>
              </w:rPr>
              <w:t>.</w:t>
            </w:r>
            <w:r w:rsidRPr="00BE5E19">
              <w:rPr>
                <w:rFonts w:ascii="Aptos" w:hAnsi="Aptos" w:cs="Calibri"/>
                <w:color w:val="000000"/>
                <w:sz w:val="18"/>
                <w:szCs w:val="18"/>
              </w:rPr>
              <w:t>955</w:t>
            </w:r>
          </w:p>
        </w:tc>
        <w:tc>
          <w:tcPr>
            <w:tcW w:w="957" w:type="dxa"/>
            <w:tcBorders>
              <w:top w:val="nil"/>
              <w:right w:val="single" w:sz="4" w:space="0" w:color="385623" w:themeColor="accent6" w:themeShade="80"/>
            </w:tcBorders>
            <w:noWrap/>
            <w:vAlign w:val="center"/>
          </w:tcPr>
          <w:p w14:paraId="4ED214BB" w14:textId="2D4B97E5"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189</w:t>
            </w:r>
            <w:r>
              <w:rPr>
                <w:rFonts w:ascii="Aptos" w:hAnsi="Aptos" w:cs="Calibri"/>
                <w:color w:val="000000"/>
                <w:sz w:val="18"/>
                <w:szCs w:val="18"/>
              </w:rPr>
              <w:t>.</w:t>
            </w:r>
            <w:r w:rsidRPr="00BE5E19">
              <w:rPr>
                <w:rFonts w:ascii="Aptos" w:hAnsi="Aptos" w:cs="Calibri"/>
                <w:color w:val="000000"/>
                <w:sz w:val="18"/>
                <w:szCs w:val="18"/>
              </w:rPr>
              <w:t>356</w:t>
            </w:r>
          </w:p>
        </w:tc>
        <w:tc>
          <w:tcPr>
            <w:tcW w:w="957" w:type="dxa"/>
            <w:tcBorders>
              <w:left w:val="single" w:sz="4" w:space="0" w:color="385623" w:themeColor="accent6" w:themeShade="80"/>
            </w:tcBorders>
            <w:noWrap/>
            <w:vAlign w:val="center"/>
          </w:tcPr>
          <w:p w14:paraId="6C7226D8" w14:textId="50961A0F"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28</w:t>
            </w:r>
            <w:r>
              <w:rPr>
                <w:rFonts w:ascii="Aptos" w:hAnsi="Aptos" w:cs="Calibri"/>
                <w:color w:val="000000"/>
                <w:sz w:val="18"/>
                <w:szCs w:val="18"/>
              </w:rPr>
              <w:t>.</w:t>
            </w:r>
            <w:r w:rsidRPr="00BE5E19">
              <w:rPr>
                <w:rFonts w:ascii="Aptos" w:hAnsi="Aptos" w:cs="Calibri"/>
                <w:color w:val="000000"/>
                <w:sz w:val="18"/>
                <w:szCs w:val="18"/>
              </w:rPr>
              <w:t>024</w:t>
            </w:r>
          </w:p>
        </w:tc>
        <w:tc>
          <w:tcPr>
            <w:tcW w:w="957" w:type="dxa"/>
            <w:tcBorders>
              <w:right w:val="single" w:sz="4" w:space="0" w:color="385623" w:themeColor="accent6" w:themeShade="80"/>
            </w:tcBorders>
            <w:noWrap/>
            <w:vAlign w:val="center"/>
          </w:tcPr>
          <w:p w14:paraId="72490F4C" w14:textId="7D616918"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15</w:t>
            </w:r>
            <w:r>
              <w:rPr>
                <w:rFonts w:ascii="Aptos" w:hAnsi="Aptos" w:cs="Calibri"/>
                <w:color w:val="000000"/>
                <w:sz w:val="18"/>
                <w:szCs w:val="18"/>
              </w:rPr>
              <w:t>.</w:t>
            </w:r>
            <w:r w:rsidRPr="00BE5E19">
              <w:rPr>
                <w:rFonts w:ascii="Aptos" w:hAnsi="Aptos" w:cs="Calibri"/>
                <w:color w:val="000000"/>
                <w:sz w:val="18"/>
                <w:szCs w:val="18"/>
              </w:rPr>
              <w:t>933</w:t>
            </w:r>
          </w:p>
        </w:tc>
        <w:tc>
          <w:tcPr>
            <w:tcW w:w="957" w:type="dxa"/>
            <w:tcBorders>
              <w:top w:val="nil"/>
              <w:left w:val="single" w:sz="4" w:space="0" w:color="385623" w:themeColor="accent6" w:themeShade="80"/>
            </w:tcBorders>
            <w:noWrap/>
            <w:vAlign w:val="center"/>
          </w:tcPr>
          <w:p w14:paraId="77DCC6EC" w14:textId="4D024270"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15</w:t>
            </w:r>
          </w:p>
        </w:tc>
        <w:tc>
          <w:tcPr>
            <w:tcW w:w="957" w:type="dxa"/>
            <w:tcBorders>
              <w:top w:val="nil"/>
              <w:right w:val="single" w:sz="4" w:space="0" w:color="385623" w:themeColor="accent6" w:themeShade="80"/>
            </w:tcBorders>
            <w:noWrap/>
            <w:vAlign w:val="center"/>
          </w:tcPr>
          <w:p w14:paraId="6BC856B9" w14:textId="52214275"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18</w:t>
            </w:r>
          </w:p>
        </w:tc>
        <w:tc>
          <w:tcPr>
            <w:tcW w:w="957" w:type="dxa"/>
            <w:tcBorders>
              <w:left w:val="single" w:sz="4" w:space="0" w:color="385623" w:themeColor="accent6" w:themeShade="80"/>
            </w:tcBorders>
            <w:noWrap/>
            <w:vAlign w:val="center"/>
          </w:tcPr>
          <w:p w14:paraId="7FB3F54F" w14:textId="19D5FC76"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214</w:t>
            </w:r>
            <w:r>
              <w:rPr>
                <w:rFonts w:ascii="Aptos" w:hAnsi="Aptos" w:cs="Calibri"/>
                <w:color w:val="000000"/>
                <w:sz w:val="18"/>
                <w:szCs w:val="18"/>
              </w:rPr>
              <w:t>.</w:t>
            </w:r>
            <w:r w:rsidRPr="00BE5E19">
              <w:rPr>
                <w:rFonts w:ascii="Aptos" w:hAnsi="Aptos" w:cs="Calibri"/>
                <w:color w:val="000000"/>
                <w:sz w:val="18"/>
                <w:szCs w:val="18"/>
              </w:rPr>
              <w:t>994</w:t>
            </w:r>
          </w:p>
        </w:tc>
        <w:tc>
          <w:tcPr>
            <w:tcW w:w="957" w:type="dxa"/>
            <w:noWrap/>
            <w:vAlign w:val="center"/>
          </w:tcPr>
          <w:p w14:paraId="35D6CC83" w14:textId="7B92A516"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205</w:t>
            </w:r>
            <w:r>
              <w:rPr>
                <w:rFonts w:ascii="Aptos" w:hAnsi="Aptos" w:cs="Calibri"/>
                <w:color w:val="000000"/>
                <w:sz w:val="18"/>
                <w:szCs w:val="18"/>
              </w:rPr>
              <w:t>.</w:t>
            </w:r>
            <w:r w:rsidRPr="00BE5E19">
              <w:rPr>
                <w:rFonts w:ascii="Aptos" w:hAnsi="Aptos" w:cs="Calibri"/>
                <w:color w:val="000000"/>
                <w:sz w:val="18"/>
                <w:szCs w:val="18"/>
              </w:rPr>
              <w:t>307</w:t>
            </w:r>
          </w:p>
        </w:tc>
      </w:tr>
      <w:tr w:rsidR="00812A23" w:rsidRPr="00BE5E19" w14:paraId="772A1638" w14:textId="77777777" w:rsidTr="004F59F4">
        <w:trPr>
          <w:trHeight w:val="375"/>
        </w:trPr>
        <w:tc>
          <w:tcPr>
            <w:tcW w:w="2788" w:type="dxa"/>
            <w:tcBorders>
              <w:right w:val="single" w:sz="4" w:space="0" w:color="385623" w:themeColor="accent6" w:themeShade="80"/>
            </w:tcBorders>
            <w:vAlign w:val="bottom"/>
            <w:hideMark/>
          </w:tcPr>
          <w:p w14:paraId="57769CBC" w14:textId="63B1EFCB" w:rsidR="00812A23" w:rsidRPr="00812A23" w:rsidRDefault="00812A23" w:rsidP="005E0EB8">
            <w:pPr>
              <w:spacing w:after="0" w:line="240" w:lineRule="auto"/>
              <w:rPr>
                <w:rFonts w:ascii="Aptos" w:eastAsia="Times New Roman" w:hAnsi="Aptos"/>
                <w:color w:val="000000"/>
                <w:sz w:val="18"/>
                <w:szCs w:val="18"/>
                <w:lang w:eastAsia="el-GR"/>
              </w:rPr>
            </w:pPr>
            <w:r w:rsidRPr="00FC6E57">
              <w:rPr>
                <w:rFonts w:eastAsia="Times New Roman"/>
                <w:color w:val="000000"/>
                <w:sz w:val="18"/>
                <w:szCs w:val="18"/>
                <w:lang w:eastAsia="el-GR"/>
              </w:rPr>
              <w:t>Βραχυπρόθεσμα δάνεια και υποχρεώσεις από μισθώσεις</w:t>
            </w:r>
          </w:p>
        </w:tc>
        <w:tc>
          <w:tcPr>
            <w:tcW w:w="956" w:type="dxa"/>
            <w:tcBorders>
              <w:left w:val="single" w:sz="4" w:space="0" w:color="385623" w:themeColor="accent6" w:themeShade="80"/>
            </w:tcBorders>
            <w:noWrap/>
            <w:vAlign w:val="center"/>
          </w:tcPr>
          <w:p w14:paraId="7C67B62E" w14:textId="69EE04F1"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441</w:t>
            </w:r>
            <w:r>
              <w:rPr>
                <w:rFonts w:ascii="Aptos" w:hAnsi="Aptos" w:cs="Calibri"/>
                <w:color w:val="000000"/>
                <w:sz w:val="18"/>
                <w:szCs w:val="18"/>
              </w:rPr>
              <w:t>.</w:t>
            </w:r>
            <w:r w:rsidRPr="00BE5E19">
              <w:rPr>
                <w:rFonts w:ascii="Aptos" w:hAnsi="Aptos" w:cs="Calibri"/>
                <w:color w:val="000000"/>
                <w:sz w:val="18"/>
                <w:szCs w:val="18"/>
              </w:rPr>
              <w:t>538</w:t>
            </w:r>
          </w:p>
        </w:tc>
        <w:tc>
          <w:tcPr>
            <w:tcW w:w="957" w:type="dxa"/>
            <w:tcBorders>
              <w:right w:val="single" w:sz="4" w:space="0" w:color="385623" w:themeColor="accent6" w:themeShade="80"/>
            </w:tcBorders>
            <w:noWrap/>
            <w:vAlign w:val="center"/>
          </w:tcPr>
          <w:p w14:paraId="31C4F367" w14:textId="7E9EA9AB"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381</w:t>
            </w:r>
            <w:r>
              <w:rPr>
                <w:rFonts w:ascii="Aptos" w:hAnsi="Aptos" w:cs="Calibri"/>
                <w:color w:val="000000"/>
                <w:sz w:val="18"/>
                <w:szCs w:val="18"/>
              </w:rPr>
              <w:t>.</w:t>
            </w:r>
            <w:r w:rsidRPr="00BE5E19">
              <w:rPr>
                <w:rFonts w:ascii="Aptos" w:hAnsi="Aptos" w:cs="Calibri"/>
                <w:color w:val="000000"/>
                <w:sz w:val="18"/>
                <w:szCs w:val="18"/>
              </w:rPr>
              <w:t>500</w:t>
            </w:r>
          </w:p>
        </w:tc>
        <w:tc>
          <w:tcPr>
            <w:tcW w:w="957" w:type="dxa"/>
            <w:tcBorders>
              <w:left w:val="single" w:sz="4" w:space="0" w:color="385623" w:themeColor="accent6" w:themeShade="80"/>
            </w:tcBorders>
            <w:noWrap/>
            <w:vAlign w:val="center"/>
          </w:tcPr>
          <w:p w14:paraId="6BBA9773" w14:textId="2BFFD46A"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58</w:t>
            </w:r>
            <w:r>
              <w:rPr>
                <w:rFonts w:ascii="Aptos" w:hAnsi="Aptos" w:cs="Calibri"/>
                <w:color w:val="000000"/>
                <w:sz w:val="18"/>
                <w:szCs w:val="18"/>
              </w:rPr>
              <w:t>.</w:t>
            </w:r>
            <w:r w:rsidRPr="00BE5E19">
              <w:rPr>
                <w:rFonts w:ascii="Aptos" w:hAnsi="Aptos" w:cs="Calibri"/>
                <w:color w:val="000000"/>
                <w:sz w:val="18"/>
                <w:szCs w:val="18"/>
              </w:rPr>
              <w:t>659</w:t>
            </w:r>
          </w:p>
        </w:tc>
        <w:tc>
          <w:tcPr>
            <w:tcW w:w="957" w:type="dxa"/>
            <w:tcBorders>
              <w:right w:val="single" w:sz="4" w:space="0" w:color="385623" w:themeColor="accent6" w:themeShade="80"/>
            </w:tcBorders>
            <w:noWrap/>
            <w:vAlign w:val="center"/>
          </w:tcPr>
          <w:p w14:paraId="7050F93B" w14:textId="16807E3F"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59</w:t>
            </w:r>
            <w:r>
              <w:rPr>
                <w:rFonts w:ascii="Aptos" w:hAnsi="Aptos" w:cs="Calibri"/>
                <w:color w:val="000000"/>
                <w:sz w:val="18"/>
                <w:szCs w:val="18"/>
              </w:rPr>
              <w:t>.</w:t>
            </w:r>
            <w:r w:rsidRPr="00BE5E19">
              <w:rPr>
                <w:rFonts w:ascii="Aptos" w:hAnsi="Aptos" w:cs="Calibri"/>
                <w:color w:val="000000"/>
                <w:sz w:val="18"/>
                <w:szCs w:val="18"/>
              </w:rPr>
              <w:t>543</w:t>
            </w:r>
          </w:p>
        </w:tc>
        <w:tc>
          <w:tcPr>
            <w:tcW w:w="957" w:type="dxa"/>
            <w:tcBorders>
              <w:left w:val="single" w:sz="4" w:space="0" w:color="385623" w:themeColor="accent6" w:themeShade="80"/>
            </w:tcBorders>
            <w:noWrap/>
            <w:vAlign w:val="center"/>
          </w:tcPr>
          <w:p w14:paraId="6D764058" w14:textId="39DDE5D7"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8</w:t>
            </w:r>
          </w:p>
        </w:tc>
        <w:tc>
          <w:tcPr>
            <w:tcW w:w="957" w:type="dxa"/>
            <w:tcBorders>
              <w:right w:val="single" w:sz="4" w:space="0" w:color="385623" w:themeColor="accent6" w:themeShade="80"/>
            </w:tcBorders>
            <w:noWrap/>
            <w:vAlign w:val="center"/>
          </w:tcPr>
          <w:p w14:paraId="6C8F702B" w14:textId="4215D028" w:rsidR="00812A23" w:rsidRPr="00BE5E19" w:rsidRDefault="00812A23" w:rsidP="005E0EB8">
            <w:pPr>
              <w:spacing w:after="0" w:line="240" w:lineRule="auto"/>
              <w:jc w:val="right"/>
              <w:rPr>
                <w:rFonts w:ascii="Aptos" w:hAnsi="Aptos"/>
                <w:sz w:val="20"/>
                <w:szCs w:val="20"/>
                <w:lang w:val="en-GB"/>
              </w:rPr>
            </w:pPr>
            <w:r w:rsidRPr="00BE5E19">
              <w:rPr>
                <w:rFonts w:ascii="Aptos" w:hAnsi="Aptos" w:cs="Calibri"/>
                <w:color w:val="000000"/>
                <w:sz w:val="18"/>
                <w:szCs w:val="18"/>
              </w:rPr>
              <w:t>11</w:t>
            </w:r>
          </w:p>
        </w:tc>
        <w:tc>
          <w:tcPr>
            <w:tcW w:w="957" w:type="dxa"/>
            <w:tcBorders>
              <w:left w:val="single" w:sz="4" w:space="0" w:color="385623" w:themeColor="accent6" w:themeShade="80"/>
            </w:tcBorders>
            <w:noWrap/>
            <w:vAlign w:val="center"/>
          </w:tcPr>
          <w:p w14:paraId="55CF19BB" w14:textId="4122E79B"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500</w:t>
            </w:r>
            <w:r>
              <w:rPr>
                <w:rFonts w:ascii="Aptos" w:hAnsi="Aptos" w:cs="Calibri"/>
                <w:color w:val="000000"/>
                <w:sz w:val="18"/>
                <w:szCs w:val="18"/>
              </w:rPr>
              <w:t>.</w:t>
            </w:r>
            <w:r w:rsidRPr="00BE5E19">
              <w:rPr>
                <w:rFonts w:ascii="Aptos" w:hAnsi="Aptos" w:cs="Calibri"/>
                <w:color w:val="000000"/>
                <w:sz w:val="18"/>
                <w:szCs w:val="18"/>
              </w:rPr>
              <w:t>205</w:t>
            </w:r>
          </w:p>
        </w:tc>
        <w:tc>
          <w:tcPr>
            <w:tcW w:w="957" w:type="dxa"/>
            <w:noWrap/>
            <w:vAlign w:val="center"/>
          </w:tcPr>
          <w:p w14:paraId="051AFB5F" w14:textId="3F9000AC"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441</w:t>
            </w:r>
            <w:r>
              <w:rPr>
                <w:rFonts w:ascii="Aptos" w:hAnsi="Aptos" w:cs="Calibri"/>
                <w:color w:val="000000"/>
                <w:sz w:val="18"/>
                <w:szCs w:val="18"/>
              </w:rPr>
              <w:t>.</w:t>
            </w:r>
            <w:r w:rsidRPr="00BE5E19">
              <w:rPr>
                <w:rFonts w:ascii="Aptos" w:hAnsi="Aptos" w:cs="Calibri"/>
                <w:color w:val="000000"/>
                <w:sz w:val="18"/>
                <w:szCs w:val="18"/>
              </w:rPr>
              <w:t>054</w:t>
            </w:r>
          </w:p>
        </w:tc>
      </w:tr>
      <w:tr w:rsidR="00812A23" w:rsidRPr="00BE5E19" w14:paraId="6FD7A297" w14:textId="77777777" w:rsidTr="004F59F4">
        <w:trPr>
          <w:trHeight w:val="375"/>
        </w:trPr>
        <w:tc>
          <w:tcPr>
            <w:tcW w:w="2788" w:type="dxa"/>
            <w:tcBorders>
              <w:bottom w:val="single" w:sz="4" w:space="0" w:color="385623" w:themeColor="accent6" w:themeShade="80"/>
              <w:right w:val="single" w:sz="4" w:space="0" w:color="385623" w:themeColor="accent6" w:themeShade="80"/>
            </w:tcBorders>
            <w:noWrap/>
            <w:vAlign w:val="bottom"/>
            <w:hideMark/>
          </w:tcPr>
          <w:p w14:paraId="24A350B7" w14:textId="5B832130" w:rsidR="00812A23" w:rsidRPr="00BE5E19" w:rsidRDefault="00812A23" w:rsidP="005E0EB8">
            <w:pPr>
              <w:spacing w:after="0" w:line="240" w:lineRule="auto"/>
              <w:rPr>
                <w:rFonts w:ascii="Aptos" w:eastAsia="Times New Roman" w:hAnsi="Aptos"/>
                <w:color w:val="000000"/>
                <w:sz w:val="18"/>
                <w:szCs w:val="18"/>
                <w:lang w:val="en-GB" w:eastAsia="el-GR"/>
              </w:rPr>
            </w:pPr>
            <w:r w:rsidRPr="00FC6E57">
              <w:rPr>
                <w:rFonts w:eastAsia="Times New Roman"/>
                <w:color w:val="000000"/>
                <w:sz w:val="18"/>
                <w:szCs w:val="18"/>
                <w:lang w:eastAsia="el-GR"/>
              </w:rPr>
              <w:t>Ταμειακά διαθέσιμα και ισοδύναμα</w:t>
            </w:r>
          </w:p>
        </w:tc>
        <w:tc>
          <w:tcPr>
            <w:tcW w:w="956" w:type="dxa"/>
            <w:tcBorders>
              <w:left w:val="single" w:sz="4" w:space="0" w:color="385623" w:themeColor="accent6" w:themeShade="80"/>
              <w:bottom w:val="single" w:sz="4" w:space="0" w:color="385623" w:themeColor="accent6" w:themeShade="80"/>
            </w:tcBorders>
            <w:noWrap/>
            <w:vAlign w:val="center"/>
          </w:tcPr>
          <w:p w14:paraId="285C4563" w14:textId="2219C4DB"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(156</w:t>
            </w:r>
            <w:r>
              <w:rPr>
                <w:rFonts w:ascii="Aptos" w:hAnsi="Aptos" w:cs="Calibri"/>
                <w:color w:val="000000"/>
                <w:sz w:val="18"/>
                <w:szCs w:val="18"/>
              </w:rPr>
              <w:t>.</w:t>
            </w:r>
            <w:r w:rsidRPr="00BE5E19">
              <w:rPr>
                <w:rFonts w:ascii="Aptos" w:hAnsi="Aptos" w:cs="Calibri"/>
                <w:color w:val="000000"/>
                <w:sz w:val="18"/>
                <w:szCs w:val="18"/>
              </w:rPr>
              <w:t>563)</w:t>
            </w:r>
          </w:p>
        </w:tc>
        <w:tc>
          <w:tcPr>
            <w:tcW w:w="957" w:type="dxa"/>
            <w:tcBorders>
              <w:bottom w:val="single" w:sz="4" w:space="0" w:color="385623" w:themeColor="accent6" w:themeShade="80"/>
              <w:right w:val="single" w:sz="4" w:space="0" w:color="385623" w:themeColor="accent6" w:themeShade="80"/>
            </w:tcBorders>
            <w:noWrap/>
            <w:vAlign w:val="center"/>
          </w:tcPr>
          <w:p w14:paraId="76DEB6AF" w14:textId="56C92374"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(250</w:t>
            </w:r>
            <w:r>
              <w:rPr>
                <w:rFonts w:ascii="Aptos" w:hAnsi="Aptos" w:cs="Calibri"/>
                <w:color w:val="000000"/>
                <w:sz w:val="18"/>
                <w:szCs w:val="18"/>
              </w:rPr>
              <w:t>.</w:t>
            </w:r>
            <w:r w:rsidRPr="00BE5E19">
              <w:rPr>
                <w:rFonts w:ascii="Aptos" w:hAnsi="Aptos" w:cs="Calibri"/>
                <w:color w:val="000000"/>
                <w:sz w:val="18"/>
                <w:szCs w:val="18"/>
              </w:rPr>
              <w:t>753)</w:t>
            </w:r>
          </w:p>
        </w:tc>
        <w:tc>
          <w:tcPr>
            <w:tcW w:w="957" w:type="dxa"/>
            <w:tcBorders>
              <w:left w:val="single" w:sz="4" w:space="0" w:color="385623" w:themeColor="accent6" w:themeShade="80"/>
              <w:bottom w:val="single" w:sz="4" w:space="0" w:color="385623" w:themeColor="accent6" w:themeShade="80"/>
            </w:tcBorders>
            <w:noWrap/>
            <w:vAlign w:val="center"/>
          </w:tcPr>
          <w:p w14:paraId="591361F7" w14:textId="5058220E"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(28</w:t>
            </w:r>
            <w:r>
              <w:rPr>
                <w:rFonts w:ascii="Aptos" w:hAnsi="Aptos" w:cs="Calibri"/>
                <w:color w:val="000000"/>
                <w:sz w:val="18"/>
                <w:szCs w:val="18"/>
              </w:rPr>
              <w:t>.</w:t>
            </w:r>
            <w:r w:rsidRPr="00BE5E19">
              <w:rPr>
                <w:rFonts w:ascii="Aptos" w:hAnsi="Aptos" w:cs="Calibri"/>
                <w:color w:val="000000"/>
                <w:sz w:val="18"/>
                <w:szCs w:val="18"/>
              </w:rPr>
              <w:t>092)</w:t>
            </w:r>
          </w:p>
        </w:tc>
        <w:tc>
          <w:tcPr>
            <w:tcW w:w="957" w:type="dxa"/>
            <w:tcBorders>
              <w:bottom w:val="single" w:sz="4" w:space="0" w:color="385623" w:themeColor="accent6" w:themeShade="80"/>
              <w:right w:val="single" w:sz="4" w:space="0" w:color="385623" w:themeColor="accent6" w:themeShade="80"/>
            </w:tcBorders>
            <w:noWrap/>
            <w:vAlign w:val="center"/>
          </w:tcPr>
          <w:p w14:paraId="57A22D73" w14:textId="487D3FE4"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(65</w:t>
            </w:r>
            <w:r>
              <w:rPr>
                <w:rFonts w:ascii="Aptos" w:hAnsi="Aptos" w:cs="Calibri"/>
                <w:color w:val="000000"/>
                <w:sz w:val="18"/>
                <w:szCs w:val="18"/>
              </w:rPr>
              <w:t>.</w:t>
            </w:r>
            <w:r w:rsidRPr="00BE5E19">
              <w:rPr>
                <w:rFonts w:ascii="Aptos" w:hAnsi="Aptos" w:cs="Calibri"/>
                <w:color w:val="000000"/>
                <w:sz w:val="18"/>
                <w:szCs w:val="18"/>
              </w:rPr>
              <w:t>343)</w:t>
            </w:r>
          </w:p>
        </w:tc>
        <w:tc>
          <w:tcPr>
            <w:tcW w:w="957" w:type="dxa"/>
            <w:tcBorders>
              <w:left w:val="single" w:sz="4" w:space="0" w:color="385623" w:themeColor="accent6" w:themeShade="80"/>
              <w:bottom w:val="single" w:sz="4" w:space="0" w:color="385623" w:themeColor="accent6" w:themeShade="80"/>
            </w:tcBorders>
            <w:noWrap/>
            <w:vAlign w:val="center"/>
          </w:tcPr>
          <w:p w14:paraId="03B68420" w14:textId="5C8C185F"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(97</w:t>
            </w:r>
            <w:r>
              <w:rPr>
                <w:rFonts w:ascii="Aptos" w:hAnsi="Aptos" w:cs="Calibri"/>
                <w:color w:val="000000"/>
                <w:sz w:val="18"/>
                <w:szCs w:val="18"/>
              </w:rPr>
              <w:t>.</w:t>
            </w:r>
            <w:r w:rsidRPr="00BE5E19">
              <w:rPr>
                <w:rFonts w:ascii="Aptos" w:hAnsi="Aptos" w:cs="Calibri"/>
                <w:color w:val="000000"/>
                <w:sz w:val="18"/>
                <w:szCs w:val="18"/>
              </w:rPr>
              <w:t>829)</w:t>
            </w:r>
          </w:p>
        </w:tc>
        <w:tc>
          <w:tcPr>
            <w:tcW w:w="957" w:type="dxa"/>
            <w:tcBorders>
              <w:bottom w:val="single" w:sz="4" w:space="0" w:color="385623" w:themeColor="accent6" w:themeShade="80"/>
              <w:right w:val="single" w:sz="4" w:space="0" w:color="385623" w:themeColor="accent6" w:themeShade="80"/>
            </w:tcBorders>
            <w:noWrap/>
            <w:vAlign w:val="center"/>
          </w:tcPr>
          <w:p w14:paraId="0BF76FF5" w14:textId="1BC8B7D3"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(126</w:t>
            </w:r>
            <w:r>
              <w:rPr>
                <w:rFonts w:ascii="Aptos" w:hAnsi="Aptos" w:cs="Calibri"/>
                <w:color w:val="000000"/>
                <w:sz w:val="18"/>
                <w:szCs w:val="18"/>
              </w:rPr>
              <w:t>.</w:t>
            </w:r>
            <w:r w:rsidRPr="00BE5E19">
              <w:rPr>
                <w:rFonts w:ascii="Aptos" w:hAnsi="Aptos" w:cs="Calibri"/>
                <w:color w:val="000000"/>
                <w:sz w:val="18"/>
                <w:szCs w:val="18"/>
              </w:rPr>
              <w:t>412)</w:t>
            </w:r>
          </w:p>
        </w:tc>
        <w:tc>
          <w:tcPr>
            <w:tcW w:w="957" w:type="dxa"/>
            <w:tcBorders>
              <w:left w:val="single" w:sz="4" w:space="0" w:color="385623" w:themeColor="accent6" w:themeShade="80"/>
              <w:bottom w:val="single" w:sz="4" w:space="0" w:color="385623" w:themeColor="accent6" w:themeShade="80"/>
            </w:tcBorders>
            <w:noWrap/>
            <w:vAlign w:val="center"/>
          </w:tcPr>
          <w:p w14:paraId="2E8EC38D" w14:textId="122F7C77"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(282</w:t>
            </w:r>
            <w:r>
              <w:rPr>
                <w:rFonts w:ascii="Aptos" w:hAnsi="Aptos" w:cs="Calibri"/>
                <w:color w:val="000000"/>
                <w:sz w:val="18"/>
                <w:szCs w:val="18"/>
              </w:rPr>
              <w:t>.</w:t>
            </w:r>
            <w:r w:rsidRPr="00BE5E19">
              <w:rPr>
                <w:rFonts w:ascii="Aptos" w:hAnsi="Aptos" w:cs="Calibri"/>
                <w:color w:val="000000"/>
                <w:sz w:val="18"/>
                <w:szCs w:val="18"/>
              </w:rPr>
              <w:t>484)</w:t>
            </w:r>
          </w:p>
        </w:tc>
        <w:tc>
          <w:tcPr>
            <w:tcW w:w="957" w:type="dxa"/>
            <w:tcBorders>
              <w:bottom w:val="single" w:sz="4" w:space="0" w:color="385623" w:themeColor="accent6" w:themeShade="80"/>
            </w:tcBorders>
            <w:noWrap/>
            <w:vAlign w:val="center"/>
          </w:tcPr>
          <w:p w14:paraId="35F0BEE2" w14:textId="69BB1B4D" w:rsidR="00812A23" w:rsidRPr="00BE5E19" w:rsidRDefault="00812A23" w:rsidP="005E0EB8">
            <w:pPr>
              <w:spacing w:after="0" w:line="240" w:lineRule="auto"/>
              <w:jc w:val="right"/>
              <w:rPr>
                <w:rFonts w:ascii="Aptos" w:hAnsi="Aptos" w:cs="Calibri"/>
                <w:color w:val="000000"/>
                <w:sz w:val="18"/>
                <w:szCs w:val="18"/>
                <w:lang w:val="en-GB"/>
              </w:rPr>
            </w:pPr>
            <w:r w:rsidRPr="00BE5E19">
              <w:rPr>
                <w:rFonts w:ascii="Aptos" w:hAnsi="Aptos" w:cs="Calibri"/>
                <w:color w:val="000000"/>
                <w:sz w:val="18"/>
                <w:szCs w:val="18"/>
              </w:rPr>
              <w:t>(442</w:t>
            </w:r>
            <w:r>
              <w:rPr>
                <w:rFonts w:ascii="Aptos" w:hAnsi="Aptos" w:cs="Calibri"/>
                <w:color w:val="000000"/>
                <w:sz w:val="18"/>
                <w:szCs w:val="18"/>
              </w:rPr>
              <w:t>.</w:t>
            </w:r>
            <w:r w:rsidRPr="00BE5E19">
              <w:rPr>
                <w:rFonts w:ascii="Aptos" w:hAnsi="Aptos" w:cs="Calibri"/>
                <w:color w:val="000000"/>
                <w:sz w:val="18"/>
                <w:szCs w:val="18"/>
              </w:rPr>
              <w:t>508)</w:t>
            </w:r>
          </w:p>
        </w:tc>
      </w:tr>
      <w:tr w:rsidR="00812A23" w:rsidRPr="00BE5E19" w14:paraId="4AF74471" w14:textId="77777777" w:rsidTr="004F59F4">
        <w:trPr>
          <w:trHeight w:val="375"/>
        </w:trPr>
        <w:tc>
          <w:tcPr>
            <w:tcW w:w="2788"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vAlign w:val="bottom"/>
            <w:hideMark/>
          </w:tcPr>
          <w:p w14:paraId="3E85676D" w14:textId="364D1B32" w:rsidR="00812A23" w:rsidRPr="00BE5E19" w:rsidRDefault="00812A23" w:rsidP="005E0EB8">
            <w:pPr>
              <w:spacing w:after="0" w:line="240" w:lineRule="auto"/>
              <w:rPr>
                <w:rFonts w:ascii="Aptos" w:eastAsia="Times New Roman" w:hAnsi="Aptos"/>
                <w:b/>
                <w:bCs/>
                <w:color w:val="000000"/>
                <w:sz w:val="18"/>
                <w:szCs w:val="18"/>
                <w:lang w:val="en-GB" w:eastAsia="el-GR"/>
              </w:rPr>
            </w:pPr>
            <w:r w:rsidRPr="00FC6E57">
              <w:rPr>
                <w:rFonts w:eastAsia="Times New Roman"/>
                <w:b/>
                <w:bCs/>
                <w:color w:val="000000"/>
                <w:sz w:val="18"/>
                <w:szCs w:val="18"/>
                <w:lang w:eastAsia="el-GR"/>
              </w:rPr>
              <w:t>Καθαρός δανεισμός</w:t>
            </w:r>
          </w:p>
        </w:tc>
        <w:tc>
          <w:tcPr>
            <w:tcW w:w="956"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1EDDA215" w14:textId="458C1133"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471</w:t>
            </w:r>
            <w:r>
              <w:rPr>
                <w:rFonts w:ascii="Aptos" w:hAnsi="Aptos" w:cs="Calibri"/>
                <w:b/>
                <w:bCs/>
                <w:color w:val="000000"/>
                <w:sz w:val="18"/>
                <w:szCs w:val="18"/>
              </w:rPr>
              <w:t>.</w:t>
            </w:r>
            <w:r w:rsidRPr="00BE5E19">
              <w:rPr>
                <w:rFonts w:ascii="Aptos" w:hAnsi="Aptos" w:cs="Calibri"/>
                <w:b/>
                <w:bCs/>
                <w:color w:val="000000"/>
                <w:sz w:val="18"/>
                <w:szCs w:val="18"/>
              </w:rPr>
              <w:t>929</w:t>
            </w:r>
          </w:p>
        </w:tc>
        <w:tc>
          <w:tcPr>
            <w:tcW w:w="957"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379FBF2B" w14:textId="313D7E29"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320</w:t>
            </w:r>
            <w:r>
              <w:rPr>
                <w:rFonts w:ascii="Aptos" w:hAnsi="Aptos" w:cs="Calibri"/>
                <w:b/>
                <w:bCs/>
                <w:color w:val="000000"/>
                <w:sz w:val="18"/>
                <w:szCs w:val="18"/>
              </w:rPr>
              <w:t>.</w:t>
            </w:r>
            <w:r w:rsidRPr="00BE5E19">
              <w:rPr>
                <w:rFonts w:ascii="Aptos" w:hAnsi="Aptos" w:cs="Calibri"/>
                <w:b/>
                <w:bCs/>
                <w:color w:val="000000"/>
                <w:sz w:val="18"/>
                <w:szCs w:val="18"/>
              </w:rPr>
              <w:t>103</w:t>
            </w:r>
          </w:p>
        </w:tc>
        <w:tc>
          <w:tcPr>
            <w:tcW w:w="957"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0675AFAA" w14:textId="2C1BEEAB"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58</w:t>
            </w:r>
            <w:r>
              <w:rPr>
                <w:rFonts w:ascii="Aptos" w:hAnsi="Aptos" w:cs="Calibri"/>
                <w:b/>
                <w:bCs/>
                <w:color w:val="000000"/>
                <w:sz w:val="18"/>
                <w:szCs w:val="18"/>
              </w:rPr>
              <w:t>.</w:t>
            </w:r>
            <w:r w:rsidRPr="00BE5E19">
              <w:rPr>
                <w:rFonts w:ascii="Aptos" w:hAnsi="Aptos" w:cs="Calibri"/>
                <w:b/>
                <w:bCs/>
                <w:color w:val="000000"/>
                <w:sz w:val="18"/>
                <w:szCs w:val="18"/>
              </w:rPr>
              <w:t>591</w:t>
            </w:r>
          </w:p>
        </w:tc>
        <w:tc>
          <w:tcPr>
            <w:tcW w:w="957"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6BE0B478" w14:textId="5B3E9F2D"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10</w:t>
            </w:r>
            <w:r>
              <w:rPr>
                <w:rFonts w:ascii="Aptos" w:hAnsi="Aptos" w:cs="Calibri"/>
                <w:b/>
                <w:bCs/>
                <w:color w:val="000000"/>
                <w:sz w:val="18"/>
                <w:szCs w:val="18"/>
              </w:rPr>
              <w:t>.</w:t>
            </w:r>
            <w:r w:rsidRPr="00BE5E19">
              <w:rPr>
                <w:rFonts w:ascii="Aptos" w:hAnsi="Aptos" w:cs="Calibri"/>
                <w:b/>
                <w:bCs/>
                <w:color w:val="000000"/>
                <w:sz w:val="18"/>
                <w:szCs w:val="18"/>
              </w:rPr>
              <w:t>133</w:t>
            </w:r>
          </w:p>
        </w:tc>
        <w:tc>
          <w:tcPr>
            <w:tcW w:w="957"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267843C6" w14:textId="7C6FDBE3"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(97</w:t>
            </w:r>
            <w:r>
              <w:rPr>
                <w:rFonts w:ascii="Aptos" w:hAnsi="Aptos" w:cs="Calibri"/>
                <w:b/>
                <w:bCs/>
                <w:color w:val="000000"/>
                <w:sz w:val="18"/>
                <w:szCs w:val="18"/>
              </w:rPr>
              <w:t>.</w:t>
            </w:r>
            <w:r w:rsidRPr="00BE5E19">
              <w:rPr>
                <w:rFonts w:ascii="Aptos" w:hAnsi="Aptos" w:cs="Calibri"/>
                <w:b/>
                <w:bCs/>
                <w:color w:val="000000"/>
                <w:sz w:val="18"/>
                <w:szCs w:val="18"/>
              </w:rPr>
              <w:t>805)</w:t>
            </w:r>
          </w:p>
        </w:tc>
        <w:tc>
          <w:tcPr>
            <w:tcW w:w="957" w:type="dxa"/>
            <w:tcBorders>
              <w:top w:val="single" w:sz="4" w:space="0" w:color="385623" w:themeColor="accent6" w:themeShade="80"/>
              <w:bottom w:val="single" w:sz="4" w:space="0" w:color="385623" w:themeColor="accent6" w:themeShade="80"/>
              <w:right w:val="single" w:sz="4" w:space="0" w:color="385623" w:themeColor="accent6" w:themeShade="80"/>
            </w:tcBorders>
            <w:shd w:val="clear" w:color="auto" w:fill="E2EFD9"/>
            <w:noWrap/>
            <w:vAlign w:val="center"/>
          </w:tcPr>
          <w:p w14:paraId="6ECCD739" w14:textId="1FAEA2FA"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(126</w:t>
            </w:r>
            <w:r>
              <w:rPr>
                <w:rFonts w:ascii="Aptos" w:hAnsi="Aptos" w:cs="Calibri"/>
                <w:b/>
                <w:bCs/>
                <w:color w:val="000000"/>
                <w:sz w:val="18"/>
                <w:szCs w:val="18"/>
              </w:rPr>
              <w:t>.</w:t>
            </w:r>
            <w:r w:rsidRPr="00BE5E19">
              <w:rPr>
                <w:rFonts w:ascii="Aptos" w:hAnsi="Aptos" w:cs="Calibri"/>
                <w:b/>
                <w:bCs/>
                <w:color w:val="000000"/>
                <w:sz w:val="18"/>
                <w:szCs w:val="18"/>
              </w:rPr>
              <w:t>383)</w:t>
            </w:r>
          </w:p>
        </w:tc>
        <w:tc>
          <w:tcPr>
            <w:tcW w:w="957" w:type="dxa"/>
            <w:tcBorders>
              <w:top w:val="single" w:sz="4" w:space="0" w:color="385623" w:themeColor="accent6" w:themeShade="80"/>
              <w:left w:val="single" w:sz="4" w:space="0" w:color="385623" w:themeColor="accent6" w:themeShade="80"/>
              <w:bottom w:val="single" w:sz="4" w:space="0" w:color="385623" w:themeColor="accent6" w:themeShade="80"/>
            </w:tcBorders>
            <w:shd w:val="clear" w:color="auto" w:fill="E2EFD9"/>
            <w:noWrap/>
            <w:vAlign w:val="center"/>
          </w:tcPr>
          <w:p w14:paraId="43698CCF" w14:textId="58B3A4DF"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432</w:t>
            </w:r>
            <w:r>
              <w:rPr>
                <w:rFonts w:ascii="Aptos" w:hAnsi="Aptos" w:cs="Calibri"/>
                <w:b/>
                <w:bCs/>
                <w:color w:val="000000"/>
                <w:sz w:val="18"/>
                <w:szCs w:val="18"/>
              </w:rPr>
              <w:t>.</w:t>
            </w:r>
            <w:r w:rsidRPr="00BE5E19">
              <w:rPr>
                <w:rFonts w:ascii="Aptos" w:hAnsi="Aptos" w:cs="Calibri"/>
                <w:b/>
                <w:bCs/>
                <w:color w:val="000000"/>
                <w:sz w:val="18"/>
                <w:szCs w:val="18"/>
              </w:rPr>
              <w:t>714</w:t>
            </w:r>
          </w:p>
        </w:tc>
        <w:tc>
          <w:tcPr>
            <w:tcW w:w="957" w:type="dxa"/>
            <w:tcBorders>
              <w:top w:val="single" w:sz="4" w:space="0" w:color="385623" w:themeColor="accent6" w:themeShade="80"/>
              <w:bottom w:val="single" w:sz="4" w:space="0" w:color="385623" w:themeColor="accent6" w:themeShade="80"/>
            </w:tcBorders>
            <w:shd w:val="clear" w:color="auto" w:fill="E2EFD9"/>
            <w:noWrap/>
            <w:vAlign w:val="center"/>
          </w:tcPr>
          <w:p w14:paraId="434BB8A4" w14:textId="5E6E7D46" w:rsidR="00812A23" w:rsidRPr="00BE5E19" w:rsidRDefault="00812A23" w:rsidP="005E0EB8">
            <w:pPr>
              <w:spacing w:after="0" w:line="240" w:lineRule="auto"/>
              <w:jc w:val="right"/>
              <w:rPr>
                <w:rFonts w:ascii="Aptos" w:hAnsi="Aptos" w:cs="Calibri"/>
                <w:b/>
                <w:bCs/>
                <w:color w:val="000000"/>
                <w:sz w:val="18"/>
                <w:szCs w:val="18"/>
                <w:lang w:val="en-GB"/>
              </w:rPr>
            </w:pPr>
            <w:r w:rsidRPr="00BE5E19">
              <w:rPr>
                <w:rFonts w:ascii="Aptos" w:hAnsi="Aptos" w:cs="Calibri"/>
                <w:b/>
                <w:bCs/>
                <w:color w:val="000000"/>
                <w:sz w:val="18"/>
                <w:szCs w:val="18"/>
              </w:rPr>
              <w:t>203</w:t>
            </w:r>
            <w:r>
              <w:rPr>
                <w:rFonts w:ascii="Aptos" w:hAnsi="Aptos" w:cs="Calibri"/>
                <w:b/>
                <w:bCs/>
                <w:color w:val="000000"/>
                <w:sz w:val="18"/>
                <w:szCs w:val="18"/>
              </w:rPr>
              <w:t>.</w:t>
            </w:r>
            <w:r w:rsidRPr="00BE5E19">
              <w:rPr>
                <w:rFonts w:ascii="Aptos" w:hAnsi="Aptos" w:cs="Calibri"/>
                <w:b/>
                <w:bCs/>
                <w:color w:val="000000"/>
                <w:sz w:val="18"/>
                <w:szCs w:val="18"/>
              </w:rPr>
              <w:t>853</w:t>
            </w:r>
          </w:p>
        </w:tc>
      </w:tr>
    </w:tbl>
    <w:p w14:paraId="41A3C140" w14:textId="4C6049C9" w:rsidR="0030155B" w:rsidRPr="00BE5E19" w:rsidRDefault="0030155B" w:rsidP="006C5C49">
      <w:pPr>
        <w:spacing w:after="120" w:line="240" w:lineRule="auto"/>
        <w:jc w:val="both"/>
        <w:rPr>
          <w:rFonts w:ascii="Aptos" w:hAnsi="Aptos"/>
          <w:b/>
          <w:sz w:val="20"/>
          <w:lang w:val="en-GB"/>
        </w:rPr>
      </w:pPr>
    </w:p>
    <w:sectPr w:rsidR="0030155B" w:rsidRPr="00BE5E19" w:rsidSect="008A62F1">
      <w:headerReference w:type="first" r:id="rId21"/>
      <w:pgSz w:w="11906" w:h="16838" w:code="9"/>
      <w:pgMar w:top="1684" w:right="851" w:bottom="284" w:left="1077" w:header="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2816" w14:textId="77777777" w:rsidR="00EE5F1B" w:rsidRDefault="00EE5F1B" w:rsidP="009010E3">
      <w:pPr>
        <w:spacing w:after="0" w:line="240" w:lineRule="auto"/>
      </w:pPr>
      <w:r>
        <w:separator/>
      </w:r>
    </w:p>
  </w:endnote>
  <w:endnote w:type="continuationSeparator" w:id="0">
    <w:p w14:paraId="5FF6D861" w14:textId="77777777" w:rsidR="00EE5F1B" w:rsidRDefault="00EE5F1B" w:rsidP="009010E3">
      <w:pPr>
        <w:spacing w:after="0" w:line="240" w:lineRule="auto"/>
      </w:pPr>
      <w:r>
        <w:continuationSeparator/>
      </w:r>
    </w:p>
  </w:endnote>
  <w:endnote w:type="continuationNotice" w:id="1">
    <w:p w14:paraId="4289651C" w14:textId="77777777" w:rsidR="00EE5F1B" w:rsidRDefault="00EE5F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 STKaiti">
    <w:altName w:val="Microsoft YaHei"/>
    <w:charset w:val="86"/>
    <w:family w:val="auto"/>
    <w:pitch w:val="variable"/>
    <w:sig w:usb0="00000000" w:usb1="080F0000" w:usb2="00000010" w:usb3="00000000" w:csb0="0004009F"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HGGothicM">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HGMinchoB">
    <w:panose1 w:val="00000000000000000000"/>
    <w:charset w:val="80"/>
    <w:family w:val="roman"/>
    <w:notTrueType/>
    <w:pitch w:val="default"/>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A1"/>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538" w14:textId="77777777" w:rsidR="008A62F1" w:rsidRPr="00B4712C" w:rsidRDefault="008A62F1" w:rsidP="008A62F1">
    <w:pPr>
      <w:pStyle w:val="Footer"/>
      <w:framePr w:w="1186" w:wrap="around" w:vAnchor="text" w:hAnchor="page" w:x="123" w:y="238"/>
      <w:jc w:val="right"/>
      <w:rPr>
        <w:rStyle w:val="PageNumber"/>
        <w:b/>
        <w:lang w:val="en-US"/>
      </w:rPr>
    </w:pPr>
    <w:r w:rsidRPr="00CF2C09">
      <w:rPr>
        <w:rStyle w:val="PageNumber"/>
        <w:b/>
      </w:rPr>
      <w:fldChar w:fldCharType="begin"/>
    </w:r>
    <w:r w:rsidRPr="00B4712C">
      <w:rPr>
        <w:rStyle w:val="PageNumber"/>
        <w:b/>
        <w:lang w:val="en-US"/>
      </w:rPr>
      <w:instrText xml:space="preserve">PAGE  </w:instrText>
    </w:r>
    <w:r w:rsidRPr="00CF2C09">
      <w:rPr>
        <w:rStyle w:val="PageNumber"/>
        <w:b/>
      </w:rPr>
      <w:fldChar w:fldCharType="separate"/>
    </w:r>
    <w:r w:rsidRPr="008A62F1">
      <w:rPr>
        <w:rStyle w:val="PageNumber"/>
        <w:b/>
        <w:lang w:val="en-US"/>
      </w:rPr>
      <w:t>2</w:t>
    </w:r>
    <w:r w:rsidRPr="00CF2C09">
      <w:rPr>
        <w:rStyle w:val="PageNumber"/>
        <w:b/>
      </w:rPr>
      <w:fldChar w:fldCharType="end"/>
    </w:r>
  </w:p>
  <w:p w14:paraId="3329A296" w14:textId="0BB844B5" w:rsidR="005E46E0" w:rsidRPr="00664167" w:rsidRDefault="005E46E0" w:rsidP="005E46E0">
    <w:pPr>
      <w:pStyle w:val="Footer"/>
      <w:framePr w:w="5530" w:wrap="around" w:vAnchor="text" w:hAnchor="page" w:x="1428" w:y="238"/>
      <w:rPr>
        <w:rStyle w:val="PageNumber"/>
        <w:bCs/>
      </w:rPr>
    </w:pPr>
    <w:r>
      <w:rPr>
        <w:rStyle w:val="PageNumber"/>
        <w:bCs/>
      </w:rPr>
      <w:t>ΟΙΚΟΝΟΜΙΚΑ ΑΠΟΤΕΛΕΣΜΑΤΑ Α’ ΕΞΑΜΗΝΟΥ 2026</w:t>
    </w:r>
  </w:p>
  <w:p w14:paraId="68992029" w14:textId="12F286A2" w:rsidR="00B4712C" w:rsidRPr="00B4712C" w:rsidRDefault="00B4712C" w:rsidP="00C6458F">
    <w:pPr>
      <w:pStyle w:val="Footer"/>
      <w:spacing w:before="240"/>
      <w:rPr>
        <w:lang w:val="en-US"/>
      </w:rPr>
    </w:pPr>
    <w:r>
      <w:rPr>
        <w:noProof/>
        <w:lang w:val="en-US"/>
      </w:rPr>
      <mc:AlternateContent>
        <mc:Choice Requires="wps">
          <w:drawing>
            <wp:anchor distT="0" distB="0" distL="114300" distR="114300" simplePos="0" relativeHeight="251659264" behindDoc="1" locked="0" layoutInCell="1" allowOverlap="1" wp14:anchorId="3B1660F7" wp14:editId="39F34107">
              <wp:simplePos x="0" y="0"/>
              <wp:positionH relativeFrom="page">
                <wp:posOffset>0</wp:posOffset>
              </wp:positionH>
              <wp:positionV relativeFrom="paragraph">
                <wp:posOffset>116576</wp:posOffset>
              </wp:positionV>
              <wp:extent cx="876300" cy="238125"/>
              <wp:effectExtent l="0" t="0" r="0" b="9525"/>
              <wp:wrapNone/>
              <wp:docPr id="26" name="Rectangle 26"/>
              <wp:cNvGraphicFramePr/>
              <a:graphic xmlns:a="http://schemas.openxmlformats.org/drawingml/2006/main">
                <a:graphicData uri="http://schemas.microsoft.com/office/word/2010/wordprocessingShape">
                  <wps:wsp>
                    <wps:cNvSpPr/>
                    <wps:spPr>
                      <a:xfrm>
                        <a:off x="0" y="0"/>
                        <a:ext cx="876300" cy="238125"/>
                      </a:xfrm>
                      <a:prstGeom prst="rect">
                        <a:avLst/>
                      </a:prstGeom>
                      <a:solidFill>
                        <a:srgbClr val="BCD0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B3300" id="Rectangle 26" o:spid="_x0000_s1026" style="position:absolute;margin-left:0;margin-top:9.2pt;width:69pt;height:18.75pt;z-index:-2516572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" fillcolor="#bcd090"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2A12" w14:textId="77777777" w:rsidR="00D452F2" w:rsidRPr="00B4712C" w:rsidRDefault="00D452F2" w:rsidP="00D452F2">
    <w:pPr>
      <w:pStyle w:val="Footer"/>
      <w:framePr w:w="1186" w:wrap="around" w:vAnchor="text" w:hAnchor="page" w:x="91" w:y="1"/>
      <w:jc w:val="right"/>
      <w:rPr>
        <w:rStyle w:val="PageNumber"/>
        <w:b/>
        <w:lang w:val="en-US"/>
      </w:rPr>
    </w:pPr>
    <w:r w:rsidRPr="00CF2C09">
      <w:rPr>
        <w:rStyle w:val="PageNumber"/>
        <w:b/>
      </w:rPr>
      <w:fldChar w:fldCharType="begin"/>
    </w:r>
    <w:r w:rsidRPr="00B4712C">
      <w:rPr>
        <w:rStyle w:val="PageNumber"/>
        <w:b/>
        <w:lang w:val="en-US"/>
      </w:rPr>
      <w:instrText xml:space="preserve">PAGE  </w:instrText>
    </w:r>
    <w:r w:rsidRPr="00CF2C09">
      <w:rPr>
        <w:rStyle w:val="PageNumber"/>
        <w:b/>
      </w:rPr>
      <w:fldChar w:fldCharType="separate"/>
    </w:r>
    <w:r w:rsidRPr="00D452F2">
      <w:rPr>
        <w:rStyle w:val="PageNumber"/>
        <w:b/>
        <w:lang w:val="en-US"/>
      </w:rPr>
      <w:t>3</w:t>
    </w:r>
    <w:r w:rsidRPr="00CF2C09">
      <w:rPr>
        <w:rStyle w:val="PageNumber"/>
        <w:b/>
      </w:rPr>
      <w:fldChar w:fldCharType="end"/>
    </w:r>
  </w:p>
  <w:p w14:paraId="180DE2BB" w14:textId="3AF49ACF" w:rsidR="00D452F2" w:rsidRPr="00B4712C" w:rsidRDefault="00D452F2" w:rsidP="00D452F2">
    <w:pPr>
      <w:pStyle w:val="Footer"/>
      <w:spacing w:before="20"/>
      <w:ind w:left="426"/>
      <w:rPr>
        <w:lang w:val="en-US"/>
      </w:rPr>
    </w:pPr>
    <w:r>
      <w:rPr>
        <w:noProof/>
        <w:lang w:val="en-US"/>
      </w:rPr>
      <mc:AlternateContent>
        <mc:Choice Requires="wps">
          <w:drawing>
            <wp:anchor distT="0" distB="0" distL="114300" distR="114300" simplePos="0" relativeHeight="251663360" behindDoc="1" locked="0" layoutInCell="1" allowOverlap="1" wp14:anchorId="67BFEE9B" wp14:editId="4931A5DF">
              <wp:simplePos x="0" y="0"/>
              <wp:positionH relativeFrom="page">
                <wp:align>left</wp:align>
              </wp:positionH>
              <wp:positionV relativeFrom="paragraph">
                <wp:posOffset>-19685</wp:posOffset>
              </wp:positionV>
              <wp:extent cx="876300" cy="238125"/>
              <wp:effectExtent l="0" t="0" r="0" b="9525"/>
              <wp:wrapNone/>
              <wp:docPr id="32" name="Rectangle 32"/>
              <wp:cNvGraphicFramePr/>
              <a:graphic xmlns:a="http://schemas.openxmlformats.org/drawingml/2006/main">
                <a:graphicData uri="http://schemas.microsoft.com/office/word/2010/wordprocessingShape">
                  <wps:wsp>
                    <wps:cNvSpPr/>
                    <wps:spPr>
                      <a:xfrm>
                        <a:off x="0" y="0"/>
                        <a:ext cx="876300" cy="238125"/>
                      </a:xfrm>
                      <a:prstGeom prst="rect">
                        <a:avLst/>
                      </a:prstGeom>
                      <a:solidFill>
                        <a:srgbClr val="BCD0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3B1FE" id="Rectangle 32" o:spid="_x0000_s1026" style="position:absolute;margin-left:0;margin-top:-1.55pt;width:69pt;height:18.75pt;z-index:-25165312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" fillcolor="#bcd090" stroked="f" strokeweight="1pt">
              <w10:wrap anchorx="page"/>
            </v:rect>
          </w:pict>
        </mc:Fallback>
      </mc:AlternateContent>
    </w:r>
    <w:r w:rsidRPr="00B4712C">
      <w:rPr>
        <w:lang w:val="en-US"/>
      </w:rPr>
      <w:t>202</w:t>
    </w:r>
    <w:r w:rsidR="007D4164">
      <w:rPr>
        <w:lang w:val="en-ZA"/>
      </w:rPr>
      <w:t>5</w:t>
    </w:r>
    <w:r w:rsidRPr="00B4712C">
      <w:rPr>
        <w:lang w:val="en-US"/>
      </w:rPr>
      <w:t xml:space="preserve"> FIRST HALF YEAR FINANCIAL RESULTS</w:t>
    </w:r>
  </w:p>
  <w:p w14:paraId="5BB2C3C0" w14:textId="77777777" w:rsidR="00137066" w:rsidRPr="00D452F2" w:rsidRDefault="0013706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95F1" w14:textId="77777777" w:rsidR="00EE5F1B" w:rsidRDefault="00EE5F1B" w:rsidP="009010E3">
      <w:pPr>
        <w:spacing w:after="0" w:line="240" w:lineRule="auto"/>
      </w:pPr>
      <w:r>
        <w:separator/>
      </w:r>
    </w:p>
  </w:footnote>
  <w:footnote w:type="continuationSeparator" w:id="0">
    <w:p w14:paraId="06DD83EF" w14:textId="77777777" w:rsidR="00EE5F1B" w:rsidRDefault="00EE5F1B" w:rsidP="009010E3">
      <w:pPr>
        <w:spacing w:after="0" w:line="240" w:lineRule="auto"/>
      </w:pPr>
      <w:r>
        <w:continuationSeparator/>
      </w:r>
    </w:p>
  </w:footnote>
  <w:footnote w:type="continuationNotice" w:id="1">
    <w:p w14:paraId="5B7FD8CC" w14:textId="77777777" w:rsidR="00EE5F1B" w:rsidRDefault="00EE5F1B">
      <w:pPr>
        <w:spacing w:after="0" w:line="240" w:lineRule="auto"/>
      </w:pPr>
    </w:p>
  </w:footnote>
  <w:footnote w:id="2">
    <w:p w14:paraId="710619B9" w14:textId="7B63B765" w:rsidR="00DF0C55" w:rsidRPr="00C07028" w:rsidRDefault="00DF0C55" w:rsidP="005E0EB8">
      <w:pPr>
        <w:pStyle w:val="FootnoteText"/>
        <w:spacing w:after="0" w:line="240" w:lineRule="auto"/>
        <w:jc w:val="both"/>
        <w:rPr>
          <w:rFonts w:cs="Calibri"/>
          <w:i/>
          <w:iCs/>
          <w:sz w:val="16"/>
          <w:szCs w:val="16"/>
        </w:rPr>
      </w:pPr>
      <w:r w:rsidRPr="00E91B3B">
        <w:rPr>
          <w:rStyle w:val="FootnoteReference"/>
          <w:rFonts w:cs="Calibri"/>
          <w:i/>
          <w:iCs/>
          <w:sz w:val="16"/>
          <w:szCs w:val="16"/>
        </w:rPr>
        <w:footnoteRef/>
      </w:r>
      <w:r w:rsidRPr="00C07028">
        <w:rPr>
          <w:rFonts w:cs="Calibri"/>
          <w:i/>
          <w:iCs/>
          <w:sz w:val="16"/>
          <w:szCs w:val="16"/>
        </w:rPr>
        <w:t xml:space="preserve"> </w:t>
      </w:r>
      <w:r w:rsidR="00C07028" w:rsidRPr="00C07028">
        <w:rPr>
          <w:rFonts w:cs="Calibri"/>
          <w:i/>
          <w:iCs/>
          <w:sz w:val="16"/>
          <w:szCs w:val="16"/>
        </w:rPr>
        <w:t xml:space="preserve">Για τον ορισμό του αναπροσαρμοσμένου </w:t>
      </w:r>
      <w:r w:rsidR="00C07028" w:rsidRPr="00C07028">
        <w:rPr>
          <w:rFonts w:cs="Calibri"/>
          <w:i/>
          <w:iCs/>
          <w:sz w:val="16"/>
          <w:szCs w:val="16"/>
          <w:lang w:val="en-US"/>
        </w:rPr>
        <w:t>EBITDA</w:t>
      </w:r>
      <w:r w:rsidR="00C07028" w:rsidRPr="00C07028">
        <w:rPr>
          <w:rFonts w:cs="Calibri"/>
          <w:i/>
          <w:iCs/>
          <w:sz w:val="16"/>
          <w:szCs w:val="16"/>
        </w:rPr>
        <w:t>, ανατρέξτε στο Παράρτημα Δ «Εναλλακτικά Μέτρα Απόδοσης (ΕΜΑ)».</w:t>
      </w:r>
    </w:p>
  </w:footnote>
  <w:footnote w:id="3">
    <w:p w14:paraId="5B37890B" w14:textId="7A64EC3A" w:rsidR="00DF0C55" w:rsidRPr="00C07028" w:rsidRDefault="00DF0C55" w:rsidP="005E0EB8">
      <w:pPr>
        <w:pStyle w:val="FootnoteText"/>
        <w:spacing w:after="0" w:line="240" w:lineRule="auto"/>
        <w:jc w:val="both"/>
        <w:rPr>
          <w:rFonts w:eastAsia="SimSun" w:cs="Calibri"/>
          <w:i/>
          <w:sz w:val="16"/>
          <w:szCs w:val="16"/>
        </w:rPr>
      </w:pPr>
      <w:r w:rsidRPr="00E91B3B">
        <w:rPr>
          <w:rStyle w:val="FootnoteReference"/>
          <w:i/>
          <w:iCs/>
          <w:sz w:val="17"/>
          <w:szCs w:val="17"/>
        </w:rPr>
        <w:footnoteRef/>
      </w:r>
      <w:r w:rsidRPr="00C07028">
        <w:rPr>
          <w:i/>
          <w:iCs/>
          <w:sz w:val="17"/>
          <w:szCs w:val="17"/>
        </w:rPr>
        <w:t xml:space="preserve"> </w:t>
      </w:r>
      <w:r w:rsidR="00C07028" w:rsidRPr="00C07028">
        <w:rPr>
          <w:i/>
          <w:iCs/>
          <w:sz w:val="17"/>
          <w:szCs w:val="17"/>
        </w:rPr>
        <w:t>Το ανεκτέλεστο υπόλοιπο παραγγελιών περιλαμβάνει υπογεγραμμένες συμβάσεις, καθώς και έργα που δεν έχουν ακόμη υπογραφεί, για τα οποία οι θυγατρικές εταιρείες έχουν λάβει επιστολή κατακύρωσης ή έχουν ανακηρυχθεί ως προτιμητέος ανάδοχος («</w:t>
      </w:r>
      <w:r w:rsidR="00C07028" w:rsidRPr="00C07028">
        <w:rPr>
          <w:i/>
          <w:iCs/>
          <w:sz w:val="17"/>
          <w:szCs w:val="17"/>
          <w:lang w:val="en-GB"/>
        </w:rPr>
        <w:t>preferred</w:t>
      </w:r>
      <w:r w:rsidR="00C07028" w:rsidRPr="00C07028">
        <w:rPr>
          <w:i/>
          <w:iCs/>
          <w:sz w:val="17"/>
          <w:szCs w:val="17"/>
        </w:rPr>
        <w:t xml:space="preserve"> </w:t>
      </w:r>
      <w:r w:rsidR="00C07028" w:rsidRPr="00C07028">
        <w:rPr>
          <w:i/>
          <w:iCs/>
          <w:sz w:val="17"/>
          <w:szCs w:val="17"/>
          <w:lang w:val="en-GB"/>
        </w:rPr>
        <w:t>bidder</w:t>
      </w:r>
      <w:r w:rsidR="00C07028" w:rsidRPr="00C07028">
        <w:rPr>
          <w:i/>
          <w:iCs/>
          <w:sz w:val="17"/>
          <w:szCs w:val="17"/>
        </w:rPr>
        <w:t>»).</w:t>
      </w:r>
    </w:p>
  </w:footnote>
  <w:footnote w:id="4">
    <w:p w14:paraId="5FA48B45" w14:textId="3B5D8433" w:rsidR="00B358D5" w:rsidRPr="00C07028" w:rsidRDefault="00B358D5" w:rsidP="005E0EB8">
      <w:pPr>
        <w:pStyle w:val="FootnoteText"/>
        <w:spacing w:after="120" w:line="240" w:lineRule="auto"/>
        <w:jc w:val="both"/>
        <w:rPr>
          <w:rFonts w:ascii="Aptos" w:hAnsi="Aptos"/>
          <w:i/>
          <w:iCs/>
          <w:sz w:val="16"/>
          <w:szCs w:val="16"/>
        </w:rPr>
      </w:pPr>
      <w:r w:rsidRPr="000B6B96">
        <w:rPr>
          <w:rStyle w:val="FootnoteReference"/>
          <w:rFonts w:ascii="Aptos" w:hAnsi="Aptos"/>
          <w:i/>
          <w:iCs/>
          <w:sz w:val="16"/>
          <w:szCs w:val="16"/>
        </w:rPr>
        <w:footnoteRef/>
      </w:r>
      <w:r w:rsidRPr="00C07028">
        <w:rPr>
          <w:rFonts w:ascii="Aptos" w:hAnsi="Aptos"/>
          <w:i/>
          <w:iCs/>
          <w:sz w:val="16"/>
          <w:szCs w:val="16"/>
        </w:rPr>
        <w:t xml:space="preserve"> </w:t>
      </w:r>
      <w:r w:rsidR="00C07028" w:rsidRPr="00C07028">
        <w:rPr>
          <w:rFonts w:ascii="Aptos" w:hAnsi="Aptos"/>
          <w:i/>
          <w:iCs/>
          <w:sz w:val="16"/>
          <w:szCs w:val="16"/>
        </w:rPr>
        <w:t>Το κεφάλαιο κίνησης ορίζεται ως το άθροισμα των: α) αποθεμάτων, β) βραχυπρόθεσμων εμπορικών και λοιπών απαιτήσεων, γ) συμβατικών περιουσιακών στοιχείων, δ) βραχυπρόθεσμου κόστους συμβάσεων, ε) προκαταβολής φόρου εισοδήματος, μείον στ) βραχυπρόθεσμων εμπορικών και λοιπών υποχρεώσεων, ζ) προβλέψεων, η) βραχυπρόθεσμων και μακροπρόθεσμων συμβατικών υποχρεώσεων και θ) υποχρέωσης από φόρο εισοδήματος.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3197" w14:textId="2703DA2A" w:rsidR="00C755AC" w:rsidRDefault="00C755AC">
    <w:pPr>
      <w:pStyle w:val="Header"/>
    </w:pPr>
    <w:r>
      <w:rPr>
        <w:noProof/>
        <w:lang w:val="en-US"/>
      </w:rPr>
      <w:drawing>
        <wp:anchor distT="0" distB="0" distL="114300" distR="114300" simplePos="0" relativeHeight="251661312" behindDoc="0" locked="0" layoutInCell="1" allowOverlap="1" wp14:anchorId="59D55226" wp14:editId="7C6E8AC5">
          <wp:simplePos x="0" y="0"/>
          <wp:positionH relativeFrom="margin">
            <wp:posOffset>-238125</wp:posOffset>
          </wp:positionH>
          <wp:positionV relativeFrom="paragraph">
            <wp:posOffset>-47625</wp:posOffset>
          </wp:positionV>
          <wp:extent cx="6869430" cy="1111333"/>
          <wp:effectExtent l="0" t="0" r="7620" b="0"/>
          <wp:wrapNone/>
          <wp:docPr id="1187249769" name="Picture 1187249769"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white background with black dots&#10;&#10;Description automatically generated"/>
                  <pic:cNvPicPr/>
                </pic:nvPicPr>
                <pic:blipFill rotWithShape="1">
                  <a:blip r:embed="rId1" cstate="print">
                    <a:extLst>
                      <a:ext uri="{28A0092B-C50C-407E-A947-70E740481C1C}">
                        <a14:useLocalDpi xmlns:a14="http://schemas.microsoft.com/office/drawing/2010/main" val="0"/>
                      </a:ext>
                    </a:extLst>
                  </a:blip>
                  <a:srcRect t="1162" b="87401"/>
                  <a:stretch/>
                </pic:blipFill>
                <pic:spPr bwMode="auto">
                  <a:xfrm>
                    <a:off x="0" y="0"/>
                    <a:ext cx="6869430" cy="11113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EA4D" w14:textId="77777777" w:rsidR="00D452F2" w:rsidRDefault="00D45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DCE31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33B11"/>
    <w:multiLevelType w:val="hybridMultilevel"/>
    <w:tmpl w:val="334412A8"/>
    <w:lvl w:ilvl="0" w:tplc="FFFFFFFF">
      <w:start w:val="1"/>
      <w:numFmt w:val="bullet"/>
      <w:lvlText w:val=""/>
      <w:lvlJc w:val="left"/>
      <w:pPr>
        <w:ind w:left="720" w:hanging="360"/>
      </w:pPr>
      <w:rPr>
        <w:rFonts w:ascii="Wingdings" w:hAnsi="Wingdings" w:hint="default"/>
      </w:rPr>
    </w:lvl>
    <w:lvl w:ilvl="1" w:tplc="6A40A89C">
      <w:numFmt w:val="bullet"/>
      <w:lvlText w:val="-"/>
      <w:lvlJc w:val="left"/>
      <w:pPr>
        <w:ind w:left="1440" w:hanging="360"/>
      </w:pPr>
      <w:rPr>
        <w:rFonts w:ascii="Arial" w:eastAsia="SC STKait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566D87"/>
    <w:multiLevelType w:val="hybridMultilevel"/>
    <w:tmpl w:val="4AA02F64"/>
    <w:lvl w:ilvl="0" w:tplc="0409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15A550D"/>
    <w:multiLevelType w:val="hybridMultilevel"/>
    <w:tmpl w:val="1C2C18BE"/>
    <w:lvl w:ilvl="0" w:tplc="8B281344">
      <w:start w:val="1"/>
      <w:numFmt w:val="bullet"/>
      <w:lvlText w:val=""/>
      <w:lvlJc w:val="left"/>
      <w:pPr>
        <w:ind w:left="1080" w:hanging="360"/>
      </w:pPr>
      <w:rPr>
        <w:rFonts w:ascii="Symbol" w:hAnsi="Symbol"/>
      </w:rPr>
    </w:lvl>
    <w:lvl w:ilvl="1" w:tplc="9E0EFA24">
      <w:start w:val="1"/>
      <w:numFmt w:val="bullet"/>
      <w:lvlText w:val=""/>
      <w:lvlJc w:val="left"/>
      <w:pPr>
        <w:ind w:left="1080" w:hanging="360"/>
      </w:pPr>
      <w:rPr>
        <w:rFonts w:ascii="Symbol" w:hAnsi="Symbol"/>
      </w:rPr>
    </w:lvl>
    <w:lvl w:ilvl="2" w:tplc="CE0C4F4C">
      <w:start w:val="1"/>
      <w:numFmt w:val="bullet"/>
      <w:lvlText w:val=""/>
      <w:lvlJc w:val="left"/>
      <w:pPr>
        <w:ind w:left="1080" w:hanging="360"/>
      </w:pPr>
      <w:rPr>
        <w:rFonts w:ascii="Symbol" w:hAnsi="Symbol"/>
      </w:rPr>
    </w:lvl>
    <w:lvl w:ilvl="3" w:tplc="824E5D3A">
      <w:start w:val="1"/>
      <w:numFmt w:val="bullet"/>
      <w:lvlText w:val=""/>
      <w:lvlJc w:val="left"/>
      <w:pPr>
        <w:ind w:left="1080" w:hanging="360"/>
      </w:pPr>
      <w:rPr>
        <w:rFonts w:ascii="Symbol" w:hAnsi="Symbol"/>
      </w:rPr>
    </w:lvl>
    <w:lvl w:ilvl="4" w:tplc="0026EF20">
      <w:start w:val="1"/>
      <w:numFmt w:val="bullet"/>
      <w:lvlText w:val=""/>
      <w:lvlJc w:val="left"/>
      <w:pPr>
        <w:ind w:left="1080" w:hanging="360"/>
      </w:pPr>
      <w:rPr>
        <w:rFonts w:ascii="Symbol" w:hAnsi="Symbol"/>
      </w:rPr>
    </w:lvl>
    <w:lvl w:ilvl="5" w:tplc="3954AA48">
      <w:start w:val="1"/>
      <w:numFmt w:val="bullet"/>
      <w:lvlText w:val=""/>
      <w:lvlJc w:val="left"/>
      <w:pPr>
        <w:ind w:left="1080" w:hanging="360"/>
      </w:pPr>
      <w:rPr>
        <w:rFonts w:ascii="Symbol" w:hAnsi="Symbol"/>
      </w:rPr>
    </w:lvl>
    <w:lvl w:ilvl="6" w:tplc="FAA897FA">
      <w:start w:val="1"/>
      <w:numFmt w:val="bullet"/>
      <w:lvlText w:val=""/>
      <w:lvlJc w:val="left"/>
      <w:pPr>
        <w:ind w:left="1080" w:hanging="360"/>
      </w:pPr>
      <w:rPr>
        <w:rFonts w:ascii="Symbol" w:hAnsi="Symbol"/>
      </w:rPr>
    </w:lvl>
    <w:lvl w:ilvl="7" w:tplc="C59A48F8">
      <w:start w:val="1"/>
      <w:numFmt w:val="bullet"/>
      <w:lvlText w:val=""/>
      <w:lvlJc w:val="left"/>
      <w:pPr>
        <w:ind w:left="1080" w:hanging="360"/>
      </w:pPr>
      <w:rPr>
        <w:rFonts w:ascii="Symbol" w:hAnsi="Symbol"/>
      </w:rPr>
    </w:lvl>
    <w:lvl w:ilvl="8" w:tplc="A76C4C44">
      <w:start w:val="1"/>
      <w:numFmt w:val="bullet"/>
      <w:lvlText w:val=""/>
      <w:lvlJc w:val="left"/>
      <w:pPr>
        <w:ind w:left="1080" w:hanging="360"/>
      </w:pPr>
      <w:rPr>
        <w:rFonts w:ascii="Symbol" w:hAnsi="Symbol"/>
      </w:rPr>
    </w:lvl>
  </w:abstractNum>
  <w:abstractNum w:abstractNumId="4" w15:restartNumberingAfterBreak="0">
    <w:nsid w:val="15755589"/>
    <w:multiLevelType w:val="hybridMultilevel"/>
    <w:tmpl w:val="7EE8ED6C"/>
    <w:lvl w:ilvl="0" w:tplc="59B880E0">
      <w:start w:val="3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A012A"/>
    <w:multiLevelType w:val="hybridMultilevel"/>
    <w:tmpl w:val="9EC47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1E33457"/>
    <w:multiLevelType w:val="hybridMultilevel"/>
    <w:tmpl w:val="3A68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31141"/>
    <w:multiLevelType w:val="hybridMultilevel"/>
    <w:tmpl w:val="4C1674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F35110"/>
    <w:multiLevelType w:val="hybridMultilevel"/>
    <w:tmpl w:val="B5029F08"/>
    <w:lvl w:ilvl="0" w:tplc="6A560484">
      <w:numFmt w:val="bullet"/>
      <w:lvlText w:val="-"/>
      <w:lvlJc w:val="left"/>
      <w:pPr>
        <w:ind w:left="408" w:hanging="360"/>
      </w:pPr>
      <w:rPr>
        <w:rFonts w:ascii="Calibri" w:eastAsia="Calibri" w:hAnsi="Calibri" w:cs="Calibri" w:hint="default"/>
        <w:color w:val="000000"/>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9" w15:restartNumberingAfterBreak="0">
    <w:nsid w:val="395A6519"/>
    <w:multiLevelType w:val="hybridMultilevel"/>
    <w:tmpl w:val="B0B8F75C"/>
    <w:lvl w:ilvl="0" w:tplc="C310D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96112"/>
    <w:multiLevelType w:val="hybridMultilevel"/>
    <w:tmpl w:val="5596C17E"/>
    <w:lvl w:ilvl="0" w:tplc="550647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8855DD"/>
    <w:multiLevelType w:val="multilevel"/>
    <w:tmpl w:val="A7364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802BD0"/>
    <w:multiLevelType w:val="hybridMultilevel"/>
    <w:tmpl w:val="2620E10A"/>
    <w:lvl w:ilvl="0" w:tplc="04090001">
      <w:start w:val="1"/>
      <w:numFmt w:val="bullet"/>
      <w:lvlText w:val=""/>
      <w:lvlJc w:val="left"/>
      <w:pPr>
        <w:ind w:left="1778" w:hanging="360"/>
      </w:pPr>
      <w:rPr>
        <w:rFonts w:ascii="Symbol" w:hAnsi="Symbol" w:hint="default"/>
        <w:b w:val="0"/>
        <w:color w:val="auto"/>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13" w15:restartNumberingAfterBreak="0">
    <w:nsid w:val="568A2A08"/>
    <w:multiLevelType w:val="hybridMultilevel"/>
    <w:tmpl w:val="4810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4B6C1D"/>
    <w:multiLevelType w:val="hybridMultilevel"/>
    <w:tmpl w:val="C8227E50"/>
    <w:lvl w:ilvl="0" w:tplc="350A230A">
      <w:start w:val="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29322C"/>
    <w:multiLevelType w:val="hybridMultilevel"/>
    <w:tmpl w:val="E7D8EA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A832560"/>
    <w:multiLevelType w:val="hybridMultilevel"/>
    <w:tmpl w:val="55A62418"/>
    <w:lvl w:ilvl="0" w:tplc="04090005">
      <w:start w:val="1"/>
      <w:numFmt w:val="bullet"/>
      <w:lvlText w:val=""/>
      <w:lvlJc w:val="left"/>
      <w:pPr>
        <w:ind w:left="720" w:hanging="360"/>
      </w:pPr>
      <w:rPr>
        <w:rFonts w:ascii="Wingdings" w:hAnsi="Wingdings" w:hint="default"/>
      </w:rPr>
    </w:lvl>
    <w:lvl w:ilvl="1" w:tplc="A3C09DC2">
      <w:numFmt w:val="bullet"/>
      <w:lvlText w:val="•"/>
      <w:lvlJc w:val="left"/>
      <w:pPr>
        <w:ind w:left="1800" w:hanging="720"/>
      </w:pPr>
      <w:rPr>
        <w:rFonts w:ascii="Calibri" w:eastAsia="SimSu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E0A75"/>
    <w:multiLevelType w:val="hybridMultilevel"/>
    <w:tmpl w:val="FE6C1DFE"/>
    <w:lvl w:ilvl="0" w:tplc="FA82F282">
      <w:start w:val="2019"/>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5FE8254C"/>
    <w:multiLevelType w:val="hybridMultilevel"/>
    <w:tmpl w:val="300C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A3285"/>
    <w:multiLevelType w:val="hybridMultilevel"/>
    <w:tmpl w:val="CFBE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27768"/>
    <w:multiLevelType w:val="hybridMultilevel"/>
    <w:tmpl w:val="54328334"/>
    <w:lvl w:ilvl="0" w:tplc="550647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AB5F07"/>
    <w:multiLevelType w:val="hybridMultilevel"/>
    <w:tmpl w:val="8EA2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645DB"/>
    <w:multiLevelType w:val="hybridMultilevel"/>
    <w:tmpl w:val="DDBE4078"/>
    <w:lvl w:ilvl="0" w:tplc="2332A2AA">
      <w:start w:val="1"/>
      <w:numFmt w:val="decimal"/>
      <w:lvlText w:val="(%1)"/>
      <w:lvlJc w:val="left"/>
      <w:pPr>
        <w:ind w:left="540" w:hanging="360"/>
      </w:pPr>
      <w:rPr>
        <w:rFonts w:hint="default"/>
      </w:r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23" w15:restartNumberingAfterBreak="0">
    <w:nsid w:val="77095BF2"/>
    <w:multiLevelType w:val="hybridMultilevel"/>
    <w:tmpl w:val="363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2078B"/>
    <w:multiLevelType w:val="hybridMultilevel"/>
    <w:tmpl w:val="460209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B1779B8"/>
    <w:multiLevelType w:val="hybridMultilevel"/>
    <w:tmpl w:val="269A24D8"/>
    <w:lvl w:ilvl="0" w:tplc="7822348C">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071100">
    <w:abstractNumId w:val="16"/>
  </w:num>
  <w:num w:numId="2" w16cid:durableId="496578486">
    <w:abstractNumId w:val="22"/>
  </w:num>
  <w:num w:numId="3" w16cid:durableId="706952299">
    <w:abstractNumId w:val="12"/>
  </w:num>
  <w:num w:numId="4" w16cid:durableId="230044322">
    <w:abstractNumId w:val="13"/>
  </w:num>
  <w:num w:numId="5" w16cid:durableId="642124590">
    <w:abstractNumId w:val="20"/>
  </w:num>
  <w:num w:numId="6" w16cid:durableId="1672022203">
    <w:abstractNumId w:val="10"/>
  </w:num>
  <w:num w:numId="7" w16cid:durableId="1889953700">
    <w:abstractNumId w:val="14"/>
  </w:num>
  <w:num w:numId="8" w16cid:durableId="1755591286">
    <w:abstractNumId w:val="17"/>
  </w:num>
  <w:num w:numId="9" w16cid:durableId="180555973">
    <w:abstractNumId w:val="8"/>
  </w:num>
  <w:num w:numId="10" w16cid:durableId="749304262">
    <w:abstractNumId w:val="8"/>
  </w:num>
  <w:num w:numId="11" w16cid:durableId="361322168">
    <w:abstractNumId w:val="18"/>
  </w:num>
  <w:num w:numId="12" w16cid:durableId="1408458346">
    <w:abstractNumId w:val="12"/>
  </w:num>
  <w:num w:numId="13" w16cid:durableId="339820769">
    <w:abstractNumId w:val="21"/>
  </w:num>
  <w:num w:numId="14" w16cid:durableId="1517503058">
    <w:abstractNumId w:val="6"/>
  </w:num>
  <w:num w:numId="15" w16cid:durableId="1105149972">
    <w:abstractNumId w:val="25"/>
  </w:num>
  <w:num w:numId="16" w16cid:durableId="573857455">
    <w:abstractNumId w:val="15"/>
  </w:num>
  <w:num w:numId="17" w16cid:durableId="2002811700">
    <w:abstractNumId w:val="4"/>
  </w:num>
  <w:num w:numId="18" w16cid:durableId="1371763238">
    <w:abstractNumId w:val="23"/>
  </w:num>
  <w:num w:numId="19" w16cid:durableId="157309356">
    <w:abstractNumId w:val="24"/>
  </w:num>
  <w:num w:numId="20" w16cid:durableId="2058511009">
    <w:abstractNumId w:val="11"/>
  </w:num>
  <w:num w:numId="21" w16cid:durableId="53818268">
    <w:abstractNumId w:val="2"/>
  </w:num>
  <w:num w:numId="22" w16cid:durableId="1246765486">
    <w:abstractNumId w:val="7"/>
  </w:num>
  <w:num w:numId="23" w16cid:durableId="1401711066">
    <w:abstractNumId w:val="9"/>
  </w:num>
  <w:num w:numId="24" w16cid:durableId="969091441">
    <w:abstractNumId w:val="1"/>
  </w:num>
  <w:num w:numId="25" w16cid:durableId="1956792003">
    <w:abstractNumId w:val="19"/>
  </w:num>
  <w:num w:numId="26" w16cid:durableId="701630018">
    <w:abstractNumId w:val="5"/>
  </w:num>
  <w:num w:numId="27" w16cid:durableId="1758944231">
    <w:abstractNumId w:val="0"/>
  </w:num>
  <w:num w:numId="28" w16cid:durableId="80308246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DA22F1"/>
    <w:rsid w:val="0000061B"/>
    <w:rsid w:val="00000639"/>
    <w:rsid w:val="00000915"/>
    <w:rsid w:val="00000987"/>
    <w:rsid w:val="00000F65"/>
    <w:rsid w:val="000014FF"/>
    <w:rsid w:val="00002145"/>
    <w:rsid w:val="000021C0"/>
    <w:rsid w:val="000027DC"/>
    <w:rsid w:val="00003180"/>
    <w:rsid w:val="00004390"/>
    <w:rsid w:val="0000454D"/>
    <w:rsid w:val="0000542B"/>
    <w:rsid w:val="00005762"/>
    <w:rsid w:val="00005819"/>
    <w:rsid w:val="000065DE"/>
    <w:rsid w:val="00006C4D"/>
    <w:rsid w:val="00007355"/>
    <w:rsid w:val="000131C8"/>
    <w:rsid w:val="0001455D"/>
    <w:rsid w:val="0001569D"/>
    <w:rsid w:val="00017012"/>
    <w:rsid w:val="000215FF"/>
    <w:rsid w:val="00021B7F"/>
    <w:rsid w:val="000220FB"/>
    <w:rsid w:val="0002283A"/>
    <w:rsid w:val="000234A8"/>
    <w:rsid w:val="000244FC"/>
    <w:rsid w:val="00024705"/>
    <w:rsid w:val="00025596"/>
    <w:rsid w:val="000261CF"/>
    <w:rsid w:val="00027BEE"/>
    <w:rsid w:val="00027C08"/>
    <w:rsid w:val="00027C2C"/>
    <w:rsid w:val="00027E53"/>
    <w:rsid w:val="00027EBC"/>
    <w:rsid w:val="00027FB0"/>
    <w:rsid w:val="00030541"/>
    <w:rsid w:val="000311CF"/>
    <w:rsid w:val="0003303D"/>
    <w:rsid w:val="00033206"/>
    <w:rsid w:val="0003385C"/>
    <w:rsid w:val="00033CEA"/>
    <w:rsid w:val="00034DC6"/>
    <w:rsid w:val="0003585B"/>
    <w:rsid w:val="00035A34"/>
    <w:rsid w:val="000367F3"/>
    <w:rsid w:val="0003735A"/>
    <w:rsid w:val="00037B49"/>
    <w:rsid w:val="00037E78"/>
    <w:rsid w:val="00037F13"/>
    <w:rsid w:val="00037F54"/>
    <w:rsid w:val="0004016F"/>
    <w:rsid w:val="000407D2"/>
    <w:rsid w:val="0004125D"/>
    <w:rsid w:val="000416E5"/>
    <w:rsid w:val="00041B3A"/>
    <w:rsid w:val="00042154"/>
    <w:rsid w:val="00042FB2"/>
    <w:rsid w:val="0004493A"/>
    <w:rsid w:val="00044DA4"/>
    <w:rsid w:val="00045336"/>
    <w:rsid w:val="0004672B"/>
    <w:rsid w:val="0004692C"/>
    <w:rsid w:val="00046B4A"/>
    <w:rsid w:val="00046FD9"/>
    <w:rsid w:val="000472FE"/>
    <w:rsid w:val="00051855"/>
    <w:rsid w:val="00051CD6"/>
    <w:rsid w:val="00053842"/>
    <w:rsid w:val="00054239"/>
    <w:rsid w:val="0005435D"/>
    <w:rsid w:val="00054B74"/>
    <w:rsid w:val="00054FBA"/>
    <w:rsid w:val="00055304"/>
    <w:rsid w:val="000553AC"/>
    <w:rsid w:val="000554D7"/>
    <w:rsid w:val="00056343"/>
    <w:rsid w:val="000567F9"/>
    <w:rsid w:val="0005732C"/>
    <w:rsid w:val="00057496"/>
    <w:rsid w:val="0005755D"/>
    <w:rsid w:val="00057C36"/>
    <w:rsid w:val="00060243"/>
    <w:rsid w:val="000606A3"/>
    <w:rsid w:val="00061363"/>
    <w:rsid w:val="00061E69"/>
    <w:rsid w:val="00061F2E"/>
    <w:rsid w:val="00062125"/>
    <w:rsid w:val="000622A0"/>
    <w:rsid w:val="00062B86"/>
    <w:rsid w:val="00062D17"/>
    <w:rsid w:val="000634AF"/>
    <w:rsid w:val="00063756"/>
    <w:rsid w:val="00063FAC"/>
    <w:rsid w:val="0006401B"/>
    <w:rsid w:val="000656BD"/>
    <w:rsid w:val="000656E9"/>
    <w:rsid w:val="00066DE5"/>
    <w:rsid w:val="0006721C"/>
    <w:rsid w:val="000675C0"/>
    <w:rsid w:val="0006762B"/>
    <w:rsid w:val="000676B9"/>
    <w:rsid w:val="00067839"/>
    <w:rsid w:val="0006796C"/>
    <w:rsid w:val="00070F89"/>
    <w:rsid w:val="00070FEA"/>
    <w:rsid w:val="00071009"/>
    <w:rsid w:val="00071458"/>
    <w:rsid w:val="00071638"/>
    <w:rsid w:val="00071B89"/>
    <w:rsid w:val="0007202E"/>
    <w:rsid w:val="000720F7"/>
    <w:rsid w:val="00072601"/>
    <w:rsid w:val="00072651"/>
    <w:rsid w:val="00072902"/>
    <w:rsid w:val="00072D0A"/>
    <w:rsid w:val="0007341F"/>
    <w:rsid w:val="0007345B"/>
    <w:rsid w:val="00073AA6"/>
    <w:rsid w:val="000748A7"/>
    <w:rsid w:val="00074B38"/>
    <w:rsid w:val="00074D11"/>
    <w:rsid w:val="00075E57"/>
    <w:rsid w:val="0007602D"/>
    <w:rsid w:val="00076BA1"/>
    <w:rsid w:val="000775D8"/>
    <w:rsid w:val="000777BD"/>
    <w:rsid w:val="00080950"/>
    <w:rsid w:val="00080A8E"/>
    <w:rsid w:val="00081D54"/>
    <w:rsid w:val="000825C3"/>
    <w:rsid w:val="000829A8"/>
    <w:rsid w:val="00082F77"/>
    <w:rsid w:val="000832D0"/>
    <w:rsid w:val="0008364D"/>
    <w:rsid w:val="000839A3"/>
    <w:rsid w:val="00083F54"/>
    <w:rsid w:val="00084DD8"/>
    <w:rsid w:val="0008679B"/>
    <w:rsid w:val="00086AAC"/>
    <w:rsid w:val="00086E4F"/>
    <w:rsid w:val="000879AD"/>
    <w:rsid w:val="00087FFB"/>
    <w:rsid w:val="00090A4D"/>
    <w:rsid w:val="00090E14"/>
    <w:rsid w:val="000912AB"/>
    <w:rsid w:val="00091B65"/>
    <w:rsid w:val="000921C9"/>
    <w:rsid w:val="0009252F"/>
    <w:rsid w:val="000933A4"/>
    <w:rsid w:val="000944B6"/>
    <w:rsid w:val="000949DD"/>
    <w:rsid w:val="00095A71"/>
    <w:rsid w:val="000960C7"/>
    <w:rsid w:val="000961FE"/>
    <w:rsid w:val="00096444"/>
    <w:rsid w:val="00096907"/>
    <w:rsid w:val="00097159"/>
    <w:rsid w:val="000972CB"/>
    <w:rsid w:val="0009734B"/>
    <w:rsid w:val="00097B8D"/>
    <w:rsid w:val="00097BD1"/>
    <w:rsid w:val="000A05B9"/>
    <w:rsid w:val="000A07E1"/>
    <w:rsid w:val="000A0ADB"/>
    <w:rsid w:val="000A124E"/>
    <w:rsid w:val="000A1996"/>
    <w:rsid w:val="000A19DE"/>
    <w:rsid w:val="000A22FF"/>
    <w:rsid w:val="000A2948"/>
    <w:rsid w:val="000A2D70"/>
    <w:rsid w:val="000A3BA2"/>
    <w:rsid w:val="000A4290"/>
    <w:rsid w:val="000A49FE"/>
    <w:rsid w:val="000A4CEB"/>
    <w:rsid w:val="000A5303"/>
    <w:rsid w:val="000A62EA"/>
    <w:rsid w:val="000A6801"/>
    <w:rsid w:val="000A68D2"/>
    <w:rsid w:val="000B026B"/>
    <w:rsid w:val="000B09D0"/>
    <w:rsid w:val="000B11DE"/>
    <w:rsid w:val="000B148B"/>
    <w:rsid w:val="000B1A4F"/>
    <w:rsid w:val="000B20D9"/>
    <w:rsid w:val="000B22EE"/>
    <w:rsid w:val="000B43CE"/>
    <w:rsid w:val="000B6116"/>
    <w:rsid w:val="000B6869"/>
    <w:rsid w:val="000B6B96"/>
    <w:rsid w:val="000B6E3F"/>
    <w:rsid w:val="000B709F"/>
    <w:rsid w:val="000B79A5"/>
    <w:rsid w:val="000C0267"/>
    <w:rsid w:val="000C1470"/>
    <w:rsid w:val="000C1801"/>
    <w:rsid w:val="000C1EAC"/>
    <w:rsid w:val="000C21ED"/>
    <w:rsid w:val="000C2A35"/>
    <w:rsid w:val="000C34D8"/>
    <w:rsid w:val="000C3BB4"/>
    <w:rsid w:val="000C454B"/>
    <w:rsid w:val="000C49A6"/>
    <w:rsid w:val="000C51B6"/>
    <w:rsid w:val="000C5F43"/>
    <w:rsid w:val="000C6187"/>
    <w:rsid w:val="000C649E"/>
    <w:rsid w:val="000C6D99"/>
    <w:rsid w:val="000C7212"/>
    <w:rsid w:val="000C7D34"/>
    <w:rsid w:val="000D04A1"/>
    <w:rsid w:val="000D05AC"/>
    <w:rsid w:val="000D0B0A"/>
    <w:rsid w:val="000D13F7"/>
    <w:rsid w:val="000D1F17"/>
    <w:rsid w:val="000D2190"/>
    <w:rsid w:val="000D234C"/>
    <w:rsid w:val="000D25C7"/>
    <w:rsid w:val="000D3537"/>
    <w:rsid w:val="000D3B05"/>
    <w:rsid w:val="000D40EA"/>
    <w:rsid w:val="000D48DC"/>
    <w:rsid w:val="000D48F0"/>
    <w:rsid w:val="000D76D3"/>
    <w:rsid w:val="000D7826"/>
    <w:rsid w:val="000D7E76"/>
    <w:rsid w:val="000E185D"/>
    <w:rsid w:val="000E350C"/>
    <w:rsid w:val="000E40F9"/>
    <w:rsid w:val="000E41FF"/>
    <w:rsid w:val="000E430D"/>
    <w:rsid w:val="000E4C1B"/>
    <w:rsid w:val="000E4D8D"/>
    <w:rsid w:val="000E5354"/>
    <w:rsid w:val="000E58C8"/>
    <w:rsid w:val="000E633F"/>
    <w:rsid w:val="000E6744"/>
    <w:rsid w:val="000F0213"/>
    <w:rsid w:val="000F037D"/>
    <w:rsid w:val="000F0CF7"/>
    <w:rsid w:val="000F1D4E"/>
    <w:rsid w:val="000F1D7A"/>
    <w:rsid w:val="000F204E"/>
    <w:rsid w:val="000F30EF"/>
    <w:rsid w:val="000F3C9E"/>
    <w:rsid w:val="000F3F2A"/>
    <w:rsid w:val="000F453F"/>
    <w:rsid w:val="000F4918"/>
    <w:rsid w:val="000F4DDB"/>
    <w:rsid w:val="000F4F15"/>
    <w:rsid w:val="000F54F0"/>
    <w:rsid w:val="000F5B43"/>
    <w:rsid w:val="000F5C92"/>
    <w:rsid w:val="000F61EE"/>
    <w:rsid w:val="000F713A"/>
    <w:rsid w:val="000F744F"/>
    <w:rsid w:val="000F75A5"/>
    <w:rsid w:val="000F777B"/>
    <w:rsid w:val="000F7D7F"/>
    <w:rsid w:val="001004E4"/>
    <w:rsid w:val="00101A8B"/>
    <w:rsid w:val="00101CC6"/>
    <w:rsid w:val="0010282E"/>
    <w:rsid w:val="00103D30"/>
    <w:rsid w:val="00103F3C"/>
    <w:rsid w:val="001040B3"/>
    <w:rsid w:val="00104893"/>
    <w:rsid w:val="001054A8"/>
    <w:rsid w:val="001054DC"/>
    <w:rsid w:val="00105BE8"/>
    <w:rsid w:val="0010660C"/>
    <w:rsid w:val="00106A4F"/>
    <w:rsid w:val="00106EAF"/>
    <w:rsid w:val="00106EEF"/>
    <w:rsid w:val="0010714E"/>
    <w:rsid w:val="0010732A"/>
    <w:rsid w:val="00107CD0"/>
    <w:rsid w:val="00110C9D"/>
    <w:rsid w:val="001123A8"/>
    <w:rsid w:val="0011313C"/>
    <w:rsid w:val="00113694"/>
    <w:rsid w:val="0011394E"/>
    <w:rsid w:val="00113A43"/>
    <w:rsid w:val="00113D2C"/>
    <w:rsid w:val="00113D3E"/>
    <w:rsid w:val="00114B72"/>
    <w:rsid w:val="00114ECC"/>
    <w:rsid w:val="00115595"/>
    <w:rsid w:val="00115D53"/>
    <w:rsid w:val="00115FDC"/>
    <w:rsid w:val="001161B5"/>
    <w:rsid w:val="001163BF"/>
    <w:rsid w:val="001202F3"/>
    <w:rsid w:val="00120786"/>
    <w:rsid w:val="00121679"/>
    <w:rsid w:val="0012210D"/>
    <w:rsid w:val="001226C0"/>
    <w:rsid w:val="00122822"/>
    <w:rsid w:val="00122CF8"/>
    <w:rsid w:val="00123CA2"/>
    <w:rsid w:val="00123D81"/>
    <w:rsid w:val="001241F7"/>
    <w:rsid w:val="0012426B"/>
    <w:rsid w:val="0012490F"/>
    <w:rsid w:val="00125FB5"/>
    <w:rsid w:val="00126338"/>
    <w:rsid w:val="001263EF"/>
    <w:rsid w:val="001269E1"/>
    <w:rsid w:val="001276D9"/>
    <w:rsid w:val="00127B8D"/>
    <w:rsid w:val="00127E61"/>
    <w:rsid w:val="0013030F"/>
    <w:rsid w:val="00130BF8"/>
    <w:rsid w:val="00131985"/>
    <w:rsid w:val="00132BAF"/>
    <w:rsid w:val="00133034"/>
    <w:rsid w:val="00134386"/>
    <w:rsid w:val="0013445A"/>
    <w:rsid w:val="00134E09"/>
    <w:rsid w:val="00134ED8"/>
    <w:rsid w:val="00135030"/>
    <w:rsid w:val="00135660"/>
    <w:rsid w:val="00135748"/>
    <w:rsid w:val="00135D0B"/>
    <w:rsid w:val="00136154"/>
    <w:rsid w:val="00136EBC"/>
    <w:rsid w:val="00136F2E"/>
    <w:rsid w:val="00136F2F"/>
    <w:rsid w:val="00137066"/>
    <w:rsid w:val="00140248"/>
    <w:rsid w:val="0014033D"/>
    <w:rsid w:val="0014041A"/>
    <w:rsid w:val="0014043A"/>
    <w:rsid w:val="00140CED"/>
    <w:rsid w:val="00140D50"/>
    <w:rsid w:val="0014157E"/>
    <w:rsid w:val="001415B7"/>
    <w:rsid w:val="0014240C"/>
    <w:rsid w:val="0014246B"/>
    <w:rsid w:val="00142653"/>
    <w:rsid w:val="0014274F"/>
    <w:rsid w:val="00143157"/>
    <w:rsid w:val="00143996"/>
    <w:rsid w:val="00143BA2"/>
    <w:rsid w:val="00143F16"/>
    <w:rsid w:val="00143F2D"/>
    <w:rsid w:val="001456AD"/>
    <w:rsid w:val="00145801"/>
    <w:rsid w:val="00146DEA"/>
    <w:rsid w:val="0014745C"/>
    <w:rsid w:val="001479C6"/>
    <w:rsid w:val="00147A26"/>
    <w:rsid w:val="001504A9"/>
    <w:rsid w:val="0015154F"/>
    <w:rsid w:val="00151E47"/>
    <w:rsid w:val="001521BD"/>
    <w:rsid w:val="0015231D"/>
    <w:rsid w:val="001527A8"/>
    <w:rsid w:val="00152AFF"/>
    <w:rsid w:val="00152B92"/>
    <w:rsid w:val="00152E39"/>
    <w:rsid w:val="001536EB"/>
    <w:rsid w:val="00153C8C"/>
    <w:rsid w:val="00153DEB"/>
    <w:rsid w:val="00153F7E"/>
    <w:rsid w:val="00154BF6"/>
    <w:rsid w:val="0015517A"/>
    <w:rsid w:val="00155277"/>
    <w:rsid w:val="001552CA"/>
    <w:rsid w:val="00156698"/>
    <w:rsid w:val="00156820"/>
    <w:rsid w:val="00156832"/>
    <w:rsid w:val="00156DBB"/>
    <w:rsid w:val="00157591"/>
    <w:rsid w:val="00157A3D"/>
    <w:rsid w:val="0016021D"/>
    <w:rsid w:val="00160221"/>
    <w:rsid w:val="001614B5"/>
    <w:rsid w:val="00161C16"/>
    <w:rsid w:val="00161E0E"/>
    <w:rsid w:val="00162420"/>
    <w:rsid w:val="00162D32"/>
    <w:rsid w:val="00163840"/>
    <w:rsid w:val="001639D5"/>
    <w:rsid w:val="001658A9"/>
    <w:rsid w:val="00165B92"/>
    <w:rsid w:val="001665AF"/>
    <w:rsid w:val="0016743C"/>
    <w:rsid w:val="0016782B"/>
    <w:rsid w:val="00167FE0"/>
    <w:rsid w:val="001705C8"/>
    <w:rsid w:val="0017125D"/>
    <w:rsid w:val="00171DD3"/>
    <w:rsid w:val="00172028"/>
    <w:rsid w:val="0017241A"/>
    <w:rsid w:val="00172A09"/>
    <w:rsid w:val="00172F4B"/>
    <w:rsid w:val="001732CC"/>
    <w:rsid w:val="001736C4"/>
    <w:rsid w:val="00174A46"/>
    <w:rsid w:val="00174E83"/>
    <w:rsid w:val="001757F5"/>
    <w:rsid w:val="00176208"/>
    <w:rsid w:val="00177C1B"/>
    <w:rsid w:val="001805E4"/>
    <w:rsid w:val="001811DD"/>
    <w:rsid w:val="0018165E"/>
    <w:rsid w:val="001819E9"/>
    <w:rsid w:val="00181C20"/>
    <w:rsid w:val="00181C87"/>
    <w:rsid w:val="0018256F"/>
    <w:rsid w:val="001838C3"/>
    <w:rsid w:val="00183EB6"/>
    <w:rsid w:val="00185458"/>
    <w:rsid w:val="0018587B"/>
    <w:rsid w:val="00185968"/>
    <w:rsid w:val="00185EB5"/>
    <w:rsid w:val="00186F8F"/>
    <w:rsid w:val="00187039"/>
    <w:rsid w:val="0018746F"/>
    <w:rsid w:val="001875DD"/>
    <w:rsid w:val="00187B7E"/>
    <w:rsid w:val="001903D4"/>
    <w:rsid w:val="001913F1"/>
    <w:rsid w:val="00191FB0"/>
    <w:rsid w:val="001928D5"/>
    <w:rsid w:val="00192A3F"/>
    <w:rsid w:val="00192CBD"/>
    <w:rsid w:val="001941EF"/>
    <w:rsid w:val="00194465"/>
    <w:rsid w:val="0019583E"/>
    <w:rsid w:val="00196886"/>
    <w:rsid w:val="00197599"/>
    <w:rsid w:val="00197ACE"/>
    <w:rsid w:val="00197E40"/>
    <w:rsid w:val="00197FDE"/>
    <w:rsid w:val="001A0A63"/>
    <w:rsid w:val="001A0A8C"/>
    <w:rsid w:val="001A0C36"/>
    <w:rsid w:val="001A0CFA"/>
    <w:rsid w:val="001A0EEF"/>
    <w:rsid w:val="001A12E5"/>
    <w:rsid w:val="001A178E"/>
    <w:rsid w:val="001A1BB4"/>
    <w:rsid w:val="001A22FC"/>
    <w:rsid w:val="001A296C"/>
    <w:rsid w:val="001A2B13"/>
    <w:rsid w:val="001A3045"/>
    <w:rsid w:val="001A3AF7"/>
    <w:rsid w:val="001A4402"/>
    <w:rsid w:val="001A59BB"/>
    <w:rsid w:val="001A6073"/>
    <w:rsid w:val="001A6404"/>
    <w:rsid w:val="001A6C9A"/>
    <w:rsid w:val="001A7122"/>
    <w:rsid w:val="001A7631"/>
    <w:rsid w:val="001A7B5C"/>
    <w:rsid w:val="001B0742"/>
    <w:rsid w:val="001B0E51"/>
    <w:rsid w:val="001B1C26"/>
    <w:rsid w:val="001B1F5D"/>
    <w:rsid w:val="001B2109"/>
    <w:rsid w:val="001B2347"/>
    <w:rsid w:val="001B2FFD"/>
    <w:rsid w:val="001B3514"/>
    <w:rsid w:val="001B3CD1"/>
    <w:rsid w:val="001B4674"/>
    <w:rsid w:val="001B46F9"/>
    <w:rsid w:val="001B4D66"/>
    <w:rsid w:val="001B5096"/>
    <w:rsid w:val="001B534C"/>
    <w:rsid w:val="001B5DCB"/>
    <w:rsid w:val="001B63C4"/>
    <w:rsid w:val="001B6D8F"/>
    <w:rsid w:val="001B6EF1"/>
    <w:rsid w:val="001B7399"/>
    <w:rsid w:val="001B7501"/>
    <w:rsid w:val="001B79AE"/>
    <w:rsid w:val="001C0111"/>
    <w:rsid w:val="001C0BAF"/>
    <w:rsid w:val="001C10F8"/>
    <w:rsid w:val="001C1E5D"/>
    <w:rsid w:val="001C1F39"/>
    <w:rsid w:val="001C2DD9"/>
    <w:rsid w:val="001C2FB7"/>
    <w:rsid w:val="001C332A"/>
    <w:rsid w:val="001C3851"/>
    <w:rsid w:val="001C3955"/>
    <w:rsid w:val="001C40C5"/>
    <w:rsid w:val="001C4199"/>
    <w:rsid w:val="001C429C"/>
    <w:rsid w:val="001C4B87"/>
    <w:rsid w:val="001C5C62"/>
    <w:rsid w:val="001C61C6"/>
    <w:rsid w:val="001C64A6"/>
    <w:rsid w:val="001C6742"/>
    <w:rsid w:val="001C6C67"/>
    <w:rsid w:val="001D091F"/>
    <w:rsid w:val="001D1603"/>
    <w:rsid w:val="001D197B"/>
    <w:rsid w:val="001D1A48"/>
    <w:rsid w:val="001D2265"/>
    <w:rsid w:val="001D22B6"/>
    <w:rsid w:val="001D34FC"/>
    <w:rsid w:val="001D3864"/>
    <w:rsid w:val="001D3D80"/>
    <w:rsid w:val="001D46CE"/>
    <w:rsid w:val="001D5407"/>
    <w:rsid w:val="001D5CE0"/>
    <w:rsid w:val="001D68AB"/>
    <w:rsid w:val="001D6A02"/>
    <w:rsid w:val="001D74E7"/>
    <w:rsid w:val="001D7A73"/>
    <w:rsid w:val="001E06F3"/>
    <w:rsid w:val="001E1405"/>
    <w:rsid w:val="001E3C22"/>
    <w:rsid w:val="001E40C9"/>
    <w:rsid w:val="001E47F7"/>
    <w:rsid w:val="001E5010"/>
    <w:rsid w:val="001E5080"/>
    <w:rsid w:val="001E5286"/>
    <w:rsid w:val="001E7AF1"/>
    <w:rsid w:val="001F02BF"/>
    <w:rsid w:val="001F0CD8"/>
    <w:rsid w:val="001F14F7"/>
    <w:rsid w:val="001F22FF"/>
    <w:rsid w:val="001F255A"/>
    <w:rsid w:val="001F3002"/>
    <w:rsid w:val="001F38D3"/>
    <w:rsid w:val="001F4070"/>
    <w:rsid w:val="001F4C3F"/>
    <w:rsid w:val="001F5440"/>
    <w:rsid w:val="001F57E3"/>
    <w:rsid w:val="001F6954"/>
    <w:rsid w:val="001F719C"/>
    <w:rsid w:val="001F72AC"/>
    <w:rsid w:val="001F785A"/>
    <w:rsid w:val="001F78F5"/>
    <w:rsid w:val="0020017C"/>
    <w:rsid w:val="002002CB"/>
    <w:rsid w:val="0020041B"/>
    <w:rsid w:val="00200648"/>
    <w:rsid w:val="002012B3"/>
    <w:rsid w:val="002012E8"/>
    <w:rsid w:val="00201CFC"/>
    <w:rsid w:val="00201EEB"/>
    <w:rsid w:val="0020247C"/>
    <w:rsid w:val="00202B71"/>
    <w:rsid w:val="0020356F"/>
    <w:rsid w:val="002038FF"/>
    <w:rsid w:val="002054BE"/>
    <w:rsid w:val="00205A29"/>
    <w:rsid w:val="00205D39"/>
    <w:rsid w:val="00206134"/>
    <w:rsid w:val="00206334"/>
    <w:rsid w:val="002064B8"/>
    <w:rsid w:val="00206704"/>
    <w:rsid w:val="00206A17"/>
    <w:rsid w:val="00206FA7"/>
    <w:rsid w:val="002075D3"/>
    <w:rsid w:val="00207C65"/>
    <w:rsid w:val="002104A2"/>
    <w:rsid w:val="00210691"/>
    <w:rsid w:val="00211118"/>
    <w:rsid w:val="002114FB"/>
    <w:rsid w:val="002123A4"/>
    <w:rsid w:val="002128BD"/>
    <w:rsid w:val="00212E60"/>
    <w:rsid w:val="00213495"/>
    <w:rsid w:val="002143B6"/>
    <w:rsid w:val="0021446E"/>
    <w:rsid w:val="00214D95"/>
    <w:rsid w:val="0021575D"/>
    <w:rsid w:val="00215FDA"/>
    <w:rsid w:val="00216789"/>
    <w:rsid w:val="00217402"/>
    <w:rsid w:val="002218FD"/>
    <w:rsid w:val="002219BE"/>
    <w:rsid w:val="002221B0"/>
    <w:rsid w:val="002224B1"/>
    <w:rsid w:val="00222E65"/>
    <w:rsid w:val="0022336F"/>
    <w:rsid w:val="00223B13"/>
    <w:rsid w:val="00223BEA"/>
    <w:rsid w:val="002241C9"/>
    <w:rsid w:val="00224ADC"/>
    <w:rsid w:val="00225FC2"/>
    <w:rsid w:val="00225FCD"/>
    <w:rsid w:val="00226188"/>
    <w:rsid w:val="00226227"/>
    <w:rsid w:val="0022692E"/>
    <w:rsid w:val="00226BC9"/>
    <w:rsid w:val="00227016"/>
    <w:rsid w:val="00227FED"/>
    <w:rsid w:val="00230200"/>
    <w:rsid w:val="00230CDC"/>
    <w:rsid w:val="00231738"/>
    <w:rsid w:val="00232B9F"/>
    <w:rsid w:val="00232D2D"/>
    <w:rsid w:val="0023302D"/>
    <w:rsid w:val="002343AE"/>
    <w:rsid w:val="002352FC"/>
    <w:rsid w:val="0023601F"/>
    <w:rsid w:val="002370BC"/>
    <w:rsid w:val="00237917"/>
    <w:rsid w:val="0024026E"/>
    <w:rsid w:val="00240C3B"/>
    <w:rsid w:val="002410B1"/>
    <w:rsid w:val="00241471"/>
    <w:rsid w:val="00241845"/>
    <w:rsid w:val="00241936"/>
    <w:rsid w:val="00242229"/>
    <w:rsid w:val="00242731"/>
    <w:rsid w:val="00242900"/>
    <w:rsid w:val="00242D40"/>
    <w:rsid w:val="00243C73"/>
    <w:rsid w:val="00245487"/>
    <w:rsid w:val="00245BDD"/>
    <w:rsid w:val="00245C47"/>
    <w:rsid w:val="00245D71"/>
    <w:rsid w:val="00245E3B"/>
    <w:rsid w:val="002469C9"/>
    <w:rsid w:val="00247074"/>
    <w:rsid w:val="0024708B"/>
    <w:rsid w:val="0024763C"/>
    <w:rsid w:val="00247746"/>
    <w:rsid w:val="0024778D"/>
    <w:rsid w:val="00247C58"/>
    <w:rsid w:val="00251FA1"/>
    <w:rsid w:val="0025247F"/>
    <w:rsid w:val="00252CE8"/>
    <w:rsid w:val="002535C1"/>
    <w:rsid w:val="002535FA"/>
    <w:rsid w:val="00253976"/>
    <w:rsid w:val="002541CA"/>
    <w:rsid w:val="002545C5"/>
    <w:rsid w:val="00254B79"/>
    <w:rsid w:val="00254BD0"/>
    <w:rsid w:val="00255ABD"/>
    <w:rsid w:val="00255D96"/>
    <w:rsid w:val="00256075"/>
    <w:rsid w:val="0025770E"/>
    <w:rsid w:val="00257733"/>
    <w:rsid w:val="00257B22"/>
    <w:rsid w:val="00260067"/>
    <w:rsid w:val="002601BC"/>
    <w:rsid w:val="0026100C"/>
    <w:rsid w:val="00261093"/>
    <w:rsid w:val="002612AB"/>
    <w:rsid w:val="00262516"/>
    <w:rsid w:val="00263A0F"/>
    <w:rsid w:val="00263D21"/>
    <w:rsid w:val="00263DDA"/>
    <w:rsid w:val="00264593"/>
    <w:rsid w:val="00264AA5"/>
    <w:rsid w:val="002658FB"/>
    <w:rsid w:val="00266007"/>
    <w:rsid w:val="0026679C"/>
    <w:rsid w:val="002669A2"/>
    <w:rsid w:val="002669E1"/>
    <w:rsid w:val="002673D3"/>
    <w:rsid w:val="002674DB"/>
    <w:rsid w:val="002675E6"/>
    <w:rsid w:val="00267796"/>
    <w:rsid w:val="00267F0D"/>
    <w:rsid w:val="00270564"/>
    <w:rsid w:val="0027070C"/>
    <w:rsid w:val="00271ACA"/>
    <w:rsid w:val="00271B47"/>
    <w:rsid w:val="00271C8A"/>
    <w:rsid w:val="002722FD"/>
    <w:rsid w:val="0027423C"/>
    <w:rsid w:val="00274C89"/>
    <w:rsid w:val="0027660A"/>
    <w:rsid w:val="00276A72"/>
    <w:rsid w:val="0027741E"/>
    <w:rsid w:val="002779C8"/>
    <w:rsid w:val="00277C8B"/>
    <w:rsid w:val="002803AC"/>
    <w:rsid w:val="00280460"/>
    <w:rsid w:val="00281089"/>
    <w:rsid w:val="00281666"/>
    <w:rsid w:val="00282499"/>
    <w:rsid w:val="002839CE"/>
    <w:rsid w:val="00284E8E"/>
    <w:rsid w:val="00285212"/>
    <w:rsid w:val="00285584"/>
    <w:rsid w:val="002864B9"/>
    <w:rsid w:val="00287666"/>
    <w:rsid w:val="00287ADD"/>
    <w:rsid w:val="002900A2"/>
    <w:rsid w:val="00290E99"/>
    <w:rsid w:val="002919FF"/>
    <w:rsid w:val="00293665"/>
    <w:rsid w:val="002939FA"/>
    <w:rsid w:val="00294487"/>
    <w:rsid w:val="00294D55"/>
    <w:rsid w:val="00295F7A"/>
    <w:rsid w:val="002978E8"/>
    <w:rsid w:val="002A13FC"/>
    <w:rsid w:val="002A15CB"/>
    <w:rsid w:val="002A1714"/>
    <w:rsid w:val="002A2A62"/>
    <w:rsid w:val="002A3428"/>
    <w:rsid w:val="002A4453"/>
    <w:rsid w:val="002A45C0"/>
    <w:rsid w:val="002A4ADC"/>
    <w:rsid w:val="002A5CA6"/>
    <w:rsid w:val="002A64FC"/>
    <w:rsid w:val="002A65B6"/>
    <w:rsid w:val="002A6755"/>
    <w:rsid w:val="002A6B4D"/>
    <w:rsid w:val="002A6BFC"/>
    <w:rsid w:val="002A6C08"/>
    <w:rsid w:val="002A6DF9"/>
    <w:rsid w:val="002A7115"/>
    <w:rsid w:val="002A735B"/>
    <w:rsid w:val="002A754C"/>
    <w:rsid w:val="002A7AB5"/>
    <w:rsid w:val="002A7EE7"/>
    <w:rsid w:val="002A7F45"/>
    <w:rsid w:val="002B0128"/>
    <w:rsid w:val="002B1C31"/>
    <w:rsid w:val="002B293A"/>
    <w:rsid w:val="002B2980"/>
    <w:rsid w:val="002B2B6F"/>
    <w:rsid w:val="002B2ED3"/>
    <w:rsid w:val="002B3DC7"/>
    <w:rsid w:val="002B409A"/>
    <w:rsid w:val="002B47CA"/>
    <w:rsid w:val="002B47F7"/>
    <w:rsid w:val="002B4F21"/>
    <w:rsid w:val="002B5340"/>
    <w:rsid w:val="002B5B5C"/>
    <w:rsid w:val="002B603B"/>
    <w:rsid w:val="002B6558"/>
    <w:rsid w:val="002B7B7D"/>
    <w:rsid w:val="002B7D64"/>
    <w:rsid w:val="002B7EA2"/>
    <w:rsid w:val="002C02B1"/>
    <w:rsid w:val="002C131F"/>
    <w:rsid w:val="002C1ACD"/>
    <w:rsid w:val="002C2851"/>
    <w:rsid w:val="002C33C0"/>
    <w:rsid w:val="002C33D3"/>
    <w:rsid w:val="002C410C"/>
    <w:rsid w:val="002C4C1A"/>
    <w:rsid w:val="002C4DC0"/>
    <w:rsid w:val="002C4DDF"/>
    <w:rsid w:val="002C4ECA"/>
    <w:rsid w:val="002C5DE3"/>
    <w:rsid w:val="002C5F54"/>
    <w:rsid w:val="002C61C1"/>
    <w:rsid w:val="002C6C22"/>
    <w:rsid w:val="002C78BC"/>
    <w:rsid w:val="002C7FD8"/>
    <w:rsid w:val="002D1915"/>
    <w:rsid w:val="002D2A2A"/>
    <w:rsid w:val="002D381E"/>
    <w:rsid w:val="002D4997"/>
    <w:rsid w:val="002D4E1E"/>
    <w:rsid w:val="002D5159"/>
    <w:rsid w:val="002D56D5"/>
    <w:rsid w:val="002D5E33"/>
    <w:rsid w:val="002D6206"/>
    <w:rsid w:val="002D6375"/>
    <w:rsid w:val="002D63E8"/>
    <w:rsid w:val="002D64FA"/>
    <w:rsid w:val="002D6AAE"/>
    <w:rsid w:val="002D6E8A"/>
    <w:rsid w:val="002D7047"/>
    <w:rsid w:val="002D73BF"/>
    <w:rsid w:val="002D73DB"/>
    <w:rsid w:val="002D7A87"/>
    <w:rsid w:val="002D7CDE"/>
    <w:rsid w:val="002D7D8D"/>
    <w:rsid w:val="002E0594"/>
    <w:rsid w:val="002E069A"/>
    <w:rsid w:val="002E12FF"/>
    <w:rsid w:val="002E2169"/>
    <w:rsid w:val="002E2385"/>
    <w:rsid w:val="002E2491"/>
    <w:rsid w:val="002E2B6C"/>
    <w:rsid w:val="002E333B"/>
    <w:rsid w:val="002E44CC"/>
    <w:rsid w:val="002E46C5"/>
    <w:rsid w:val="002E53CC"/>
    <w:rsid w:val="002E549D"/>
    <w:rsid w:val="002E58CC"/>
    <w:rsid w:val="002E5950"/>
    <w:rsid w:val="002E5A68"/>
    <w:rsid w:val="002E5CCB"/>
    <w:rsid w:val="002E5F44"/>
    <w:rsid w:val="002E63EF"/>
    <w:rsid w:val="002E6530"/>
    <w:rsid w:val="002E67C4"/>
    <w:rsid w:val="002E6A7B"/>
    <w:rsid w:val="002E7322"/>
    <w:rsid w:val="002E7D30"/>
    <w:rsid w:val="002E7F8C"/>
    <w:rsid w:val="002F08E2"/>
    <w:rsid w:val="002F1490"/>
    <w:rsid w:val="002F191A"/>
    <w:rsid w:val="002F25F8"/>
    <w:rsid w:val="002F28AB"/>
    <w:rsid w:val="002F2BDC"/>
    <w:rsid w:val="002F2E46"/>
    <w:rsid w:val="002F3049"/>
    <w:rsid w:val="002F3176"/>
    <w:rsid w:val="002F359C"/>
    <w:rsid w:val="002F40D6"/>
    <w:rsid w:val="002F4E8D"/>
    <w:rsid w:val="002F5672"/>
    <w:rsid w:val="002F60EA"/>
    <w:rsid w:val="002F614B"/>
    <w:rsid w:val="002F6884"/>
    <w:rsid w:val="002F699C"/>
    <w:rsid w:val="002F6E1F"/>
    <w:rsid w:val="002F7263"/>
    <w:rsid w:val="002F79E1"/>
    <w:rsid w:val="002F7D92"/>
    <w:rsid w:val="003002F9"/>
    <w:rsid w:val="00300FA3"/>
    <w:rsid w:val="0030155B"/>
    <w:rsid w:val="00301708"/>
    <w:rsid w:val="00301B59"/>
    <w:rsid w:val="003021E5"/>
    <w:rsid w:val="003029F3"/>
    <w:rsid w:val="00302F7B"/>
    <w:rsid w:val="0030306E"/>
    <w:rsid w:val="00303AB5"/>
    <w:rsid w:val="00303E8D"/>
    <w:rsid w:val="0030519E"/>
    <w:rsid w:val="00305404"/>
    <w:rsid w:val="00305A83"/>
    <w:rsid w:val="0031000B"/>
    <w:rsid w:val="00310160"/>
    <w:rsid w:val="0031018F"/>
    <w:rsid w:val="00310B3B"/>
    <w:rsid w:val="003126EF"/>
    <w:rsid w:val="00312C08"/>
    <w:rsid w:val="00313C39"/>
    <w:rsid w:val="003141D5"/>
    <w:rsid w:val="00314352"/>
    <w:rsid w:val="0031446E"/>
    <w:rsid w:val="00314E44"/>
    <w:rsid w:val="00315652"/>
    <w:rsid w:val="00315CB9"/>
    <w:rsid w:val="00316377"/>
    <w:rsid w:val="00316909"/>
    <w:rsid w:val="0031728F"/>
    <w:rsid w:val="00317569"/>
    <w:rsid w:val="003179EA"/>
    <w:rsid w:val="00317E84"/>
    <w:rsid w:val="003221AA"/>
    <w:rsid w:val="00322BB0"/>
    <w:rsid w:val="00323471"/>
    <w:rsid w:val="00323612"/>
    <w:rsid w:val="00323C15"/>
    <w:rsid w:val="00323EC0"/>
    <w:rsid w:val="00324EAD"/>
    <w:rsid w:val="00326700"/>
    <w:rsid w:val="003272C2"/>
    <w:rsid w:val="0032749A"/>
    <w:rsid w:val="00327E04"/>
    <w:rsid w:val="00330B03"/>
    <w:rsid w:val="00331A2C"/>
    <w:rsid w:val="00331EF8"/>
    <w:rsid w:val="003321AE"/>
    <w:rsid w:val="003324CB"/>
    <w:rsid w:val="0033299B"/>
    <w:rsid w:val="00332AB4"/>
    <w:rsid w:val="00332E12"/>
    <w:rsid w:val="00333445"/>
    <w:rsid w:val="003338D8"/>
    <w:rsid w:val="003341FC"/>
    <w:rsid w:val="00335642"/>
    <w:rsid w:val="00335A0E"/>
    <w:rsid w:val="00335B17"/>
    <w:rsid w:val="00340098"/>
    <w:rsid w:val="0034042E"/>
    <w:rsid w:val="00340869"/>
    <w:rsid w:val="0034087E"/>
    <w:rsid w:val="00340AAA"/>
    <w:rsid w:val="0034169C"/>
    <w:rsid w:val="00341D49"/>
    <w:rsid w:val="00341D5E"/>
    <w:rsid w:val="00343100"/>
    <w:rsid w:val="0034327C"/>
    <w:rsid w:val="00343958"/>
    <w:rsid w:val="00343AF1"/>
    <w:rsid w:val="00343B27"/>
    <w:rsid w:val="00344840"/>
    <w:rsid w:val="003456C3"/>
    <w:rsid w:val="00345F4C"/>
    <w:rsid w:val="00346353"/>
    <w:rsid w:val="00346964"/>
    <w:rsid w:val="00346D1C"/>
    <w:rsid w:val="0034736B"/>
    <w:rsid w:val="003507C6"/>
    <w:rsid w:val="00350ADB"/>
    <w:rsid w:val="00350D60"/>
    <w:rsid w:val="00351F9A"/>
    <w:rsid w:val="00352073"/>
    <w:rsid w:val="00352080"/>
    <w:rsid w:val="003520B2"/>
    <w:rsid w:val="003521E8"/>
    <w:rsid w:val="00352B1C"/>
    <w:rsid w:val="00353480"/>
    <w:rsid w:val="003542F4"/>
    <w:rsid w:val="0035533C"/>
    <w:rsid w:val="003559AA"/>
    <w:rsid w:val="00355B96"/>
    <w:rsid w:val="00355D58"/>
    <w:rsid w:val="00356086"/>
    <w:rsid w:val="00356640"/>
    <w:rsid w:val="00356E07"/>
    <w:rsid w:val="00357526"/>
    <w:rsid w:val="003578B1"/>
    <w:rsid w:val="00360173"/>
    <w:rsid w:val="00361B44"/>
    <w:rsid w:val="003634A6"/>
    <w:rsid w:val="00364E52"/>
    <w:rsid w:val="00365022"/>
    <w:rsid w:val="0036685A"/>
    <w:rsid w:val="003669D1"/>
    <w:rsid w:val="0036759D"/>
    <w:rsid w:val="00367BEF"/>
    <w:rsid w:val="00367BF5"/>
    <w:rsid w:val="0037008C"/>
    <w:rsid w:val="00370FA7"/>
    <w:rsid w:val="00371811"/>
    <w:rsid w:val="00372706"/>
    <w:rsid w:val="003738F2"/>
    <w:rsid w:val="00373922"/>
    <w:rsid w:val="003739DE"/>
    <w:rsid w:val="00374D7F"/>
    <w:rsid w:val="00374EEE"/>
    <w:rsid w:val="003751B7"/>
    <w:rsid w:val="0037559C"/>
    <w:rsid w:val="00375BB5"/>
    <w:rsid w:val="00376407"/>
    <w:rsid w:val="00376C95"/>
    <w:rsid w:val="0038032B"/>
    <w:rsid w:val="00380442"/>
    <w:rsid w:val="003804F7"/>
    <w:rsid w:val="0038072C"/>
    <w:rsid w:val="00380D94"/>
    <w:rsid w:val="00381E2A"/>
    <w:rsid w:val="003824B0"/>
    <w:rsid w:val="00382E6D"/>
    <w:rsid w:val="00382F6E"/>
    <w:rsid w:val="00383754"/>
    <w:rsid w:val="00383F30"/>
    <w:rsid w:val="00384579"/>
    <w:rsid w:val="0038633E"/>
    <w:rsid w:val="0038690E"/>
    <w:rsid w:val="003873D9"/>
    <w:rsid w:val="0038784E"/>
    <w:rsid w:val="00390896"/>
    <w:rsid w:val="003926FF"/>
    <w:rsid w:val="003936C1"/>
    <w:rsid w:val="00393D1B"/>
    <w:rsid w:val="003948C3"/>
    <w:rsid w:val="00394A3C"/>
    <w:rsid w:val="00394BCD"/>
    <w:rsid w:val="00394C89"/>
    <w:rsid w:val="00394DB5"/>
    <w:rsid w:val="003950F1"/>
    <w:rsid w:val="003953E2"/>
    <w:rsid w:val="00395BE2"/>
    <w:rsid w:val="00395C9A"/>
    <w:rsid w:val="003963A0"/>
    <w:rsid w:val="0039683B"/>
    <w:rsid w:val="00396F48"/>
    <w:rsid w:val="003974FA"/>
    <w:rsid w:val="00397542"/>
    <w:rsid w:val="003A0FE5"/>
    <w:rsid w:val="003A1995"/>
    <w:rsid w:val="003A2356"/>
    <w:rsid w:val="003A2852"/>
    <w:rsid w:val="003A2CDC"/>
    <w:rsid w:val="003A3285"/>
    <w:rsid w:val="003A354A"/>
    <w:rsid w:val="003A3A36"/>
    <w:rsid w:val="003A5442"/>
    <w:rsid w:val="003A5797"/>
    <w:rsid w:val="003A5991"/>
    <w:rsid w:val="003A5F53"/>
    <w:rsid w:val="003A63DD"/>
    <w:rsid w:val="003A7741"/>
    <w:rsid w:val="003A7918"/>
    <w:rsid w:val="003A7A6E"/>
    <w:rsid w:val="003B0D96"/>
    <w:rsid w:val="003B17E2"/>
    <w:rsid w:val="003B1B4F"/>
    <w:rsid w:val="003B2509"/>
    <w:rsid w:val="003B34D7"/>
    <w:rsid w:val="003B384A"/>
    <w:rsid w:val="003B3D12"/>
    <w:rsid w:val="003B3DA7"/>
    <w:rsid w:val="003B4BA2"/>
    <w:rsid w:val="003B58BA"/>
    <w:rsid w:val="003B5C5C"/>
    <w:rsid w:val="003B5FDF"/>
    <w:rsid w:val="003B5FFB"/>
    <w:rsid w:val="003B604B"/>
    <w:rsid w:val="003B7679"/>
    <w:rsid w:val="003B77F3"/>
    <w:rsid w:val="003B791E"/>
    <w:rsid w:val="003B7B34"/>
    <w:rsid w:val="003B7E37"/>
    <w:rsid w:val="003C0127"/>
    <w:rsid w:val="003C02D3"/>
    <w:rsid w:val="003C04B4"/>
    <w:rsid w:val="003C074A"/>
    <w:rsid w:val="003C0C54"/>
    <w:rsid w:val="003C1469"/>
    <w:rsid w:val="003C213A"/>
    <w:rsid w:val="003C2FE6"/>
    <w:rsid w:val="003C31E9"/>
    <w:rsid w:val="003C3276"/>
    <w:rsid w:val="003C4882"/>
    <w:rsid w:val="003C5B2E"/>
    <w:rsid w:val="003C5C7A"/>
    <w:rsid w:val="003C5D0B"/>
    <w:rsid w:val="003C5FCD"/>
    <w:rsid w:val="003C65D2"/>
    <w:rsid w:val="003C721F"/>
    <w:rsid w:val="003C7AC5"/>
    <w:rsid w:val="003C7C80"/>
    <w:rsid w:val="003D0A4E"/>
    <w:rsid w:val="003D0FC2"/>
    <w:rsid w:val="003D1441"/>
    <w:rsid w:val="003D1D0B"/>
    <w:rsid w:val="003D1D0E"/>
    <w:rsid w:val="003D1FF0"/>
    <w:rsid w:val="003D231C"/>
    <w:rsid w:val="003D29F9"/>
    <w:rsid w:val="003D2D24"/>
    <w:rsid w:val="003D2E23"/>
    <w:rsid w:val="003D2EF7"/>
    <w:rsid w:val="003D380E"/>
    <w:rsid w:val="003D3A76"/>
    <w:rsid w:val="003D3ED5"/>
    <w:rsid w:val="003D46E1"/>
    <w:rsid w:val="003D4976"/>
    <w:rsid w:val="003D583C"/>
    <w:rsid w:val="003D5897"/>
    <w:rsid w:val="003D5DB4"/>
    <w:rsid w:val="003D5E8F"/>
    <w:rsid w:val="003D610B"/>
    <w:rsid w:val="003D6B33"/>
    <w:rsid w:val="003D6B41"/>
    <w:rsid w:val="003D7351"/>
    <w:rsid w:val="003D771E"/>
    <w:rsid w:val="003E02A1"/>
    <w:rsid w:val="003E075E"/>
    <w:rsid w:val="003E19A7"/>
    <w:rsid w:val="003E20FA"/>
    <w:rsid w:val="003E2247"/>
    <w:rsid w:val="003E23D3"/>
    <w:rsid w:val="003E36E4"/>
    <w:rsid w:val="003E39DB"/>
    <w:rsid w:val="003E5259"/>
    <w:rsid w:val="003E57B4"/>
    <w:rsid w:val="003E5A26"/>
    <w:rsid w:val="003E5EE3"/>
    <w:rsid w:val="003E685B"/>
    <w:rsid w:val="003E6F81"/>
    <w:rsid w:val="003E72D2"/>
    <w:rsid w:val="003E7510"/>
    <w:rsid w:val="003E7775"/>
    <w:rsid w:val="003E78BE"/>
    <w:rsid w:val="003E7B9A"/>
    <w:rsid w:val="003E7D6C"/>
    <w:rsid w:val="003F02A2"/>
    <w:rsid w:val="003F0327"/>
    <w:rsid w:val="003F1288"/>
    <w:rsid w:val="003F1432"/>
    <w:rsid w:val="003F20FD"/>
    <w:rsid w:val="003F255A"/>
    <w:rsid w:val="003F25BE"/>
    <w:rsid w:val="003F292F"/>
    <w:rsid w:val="003F42A2"/>
    <w:rsid w:val="003F4602"/>
    <w:rsid w:val="003F4F9A"/>
    <w:rsid w:val="003F56A4"/>
    <w:rsid w:val="003F689B"/>
    <w:rsid w:val="003F6B33"/>
    <w:rsid w:val="003F7BAF"/>
    <w:rsid w:val="003F7C71"/>
    <w:rsid w:val="00400432"/>
    <w:rsid w:val="004005B2"/>
    <w:rsid w:val="0040082B"/>
    <w:rsid w:val="00402214"/>
    <w:rsid w:val="00403447"/>
    <w:rsid w:val="00403764"/>
    <w:rsid w:val="004037C6"/>
    <w:rsid w:val="004041E7"/>
    <w:rsid w:val="0040479B"/>
    <w:rsid w:val="0040621C"/>
    <w:rsid w:val="00406933"/>
    <w:rsid w:val="00407361"/>
    <w:rsid w:val="00410410"/>
    <w:rsid w:val="0041209A"/>
    <w:rsid w:val="00412D6D"/>
    <w:rsid w:val="00413083"/>
    <w:rsid w:val="0041333D"/>
    <w:rsid w:val="0041389C"/>
    <w:rsid w:val="00414439"/>
    <w:rsid w:val="00414DD0"/>
    <w:rsid w:val="004152BD"/>
    <w:rsid w:val="004153E1"/>
    <w:rsid w:val="0041552A"/>
    <w:rsid w:val="004158E5"/>
    <w:rsid w:val="00415FA3"/>
    <w:rsid w:val="00416021"/>
    <w:rsid w:val="00416E41"/>
    <w:rsid w:val="00416F1A"/>
    <w:rsid w:val="00417350"/>
    <w:rsid w:val="00420E1E"/>
    <w:rsid w:val="00422713"/>
    <w:rsid w:val="00422741"/>
    <w:rsid w:val="00422C00"/>
    <w:rsid w:val="00423217"/>
    <w:rsid w:val="004234C1"/>
    <w:rsid w:val="00423BB9"/>
    <w:rsid w:val="00424105"/>
    <w:rsid w:val="004273B1"/>
    <w:rsid w:val="0042756D"/>
    <w:rsid w:val="00427870"/>
    <w:rsid w:val="0043018F"/>
    <w:rsid w:val="004304E5"/>
    <w:rsid w:val="0043065B"/>
    <w:rsid w:val="00430866"/>
    <w:rsid w:val="00431A1D"/>
    <w:rsid w:val="004325D3"/>
    <w:rsid w:val="004328E7"/>
    <w:rsid w:val="00433712"/>
    <w:rsid w:val="00433734"/>
    <w:rsid w:val="0043458D"/>
    <w:rsid w:val="00434687"/>
    <w:rsid w:val="00434914"/>
    <w:rsid w:val="0043515E"/>
    <w:rsid w:val="00435413"/>
    <w:rsid w:val="004362D2"/>
    <w:rsid w:val="00436303"/>
    <w:rsid w:val="0043686B"/>
    <w:rsid w:val="00437913"/>
    <w:rsid w:val="0043797F"/>
    <w:rsid w:val="00437F20"/>
    <w:rsid w:val="004400B6"/>
    <w:rsid w:val="004408AD"/>
    <w:rsid w:val="0044133A"/>
    <w:rsid w:val="004419E2"/>
    <w:rsid w:val="00441A06"/>
    <w:rsid w:val="00441CE3"/>
    <w:rsid w:val="00441CF5"/>
    <w:rsid w:val="00441EF3"/>
    <w:rsid w:val="00442525"/>
    <w:rsid w:val="00442BD1"/>
    <w:rsid w:val="00443348"/>
    <w:rsid w:val="004433AA"/>
    <w:rsid w:val="0044379B"/>
    <w:rsid w:val="004440BC"/>
    <w:rsid w:val="00444144"/>
    <w:rsid w:val="0044436C"/>
    <w:rsid w:val="004471DE"/>
    <w:rsid w:val="004476BD"/>
    <w:rsid w:val="00451323"/>
    <w:rsid w:val="0045136D"/>
    <w:rsid w:val="00451BBF"/>
    <w:rsid w:val="00451F70"/>
    <w:rsid w:val="00452B4F"/>
    <w:rsid w:val="00453411"/>
    <w:rsid w:val="004539CE"/>
    <w:rsid w:val="0045480C"/>
    <w:rsid w:val="00454D1D"/>
    <w:rsid w:val="00454E8C"/>
    <w:rsid w:val="00455109"/>
    <w:rsid w:val="0045532C"/>
    <w:rsid w:val="0045621F"/>
    <w:rsid w:val="004565B9"/>
    <w:rsid w:val="00456BE4"/>
    <w:rsid w:val="004571E0"/>
    <w:rsid w:val="00460228"/>
    <w:rsid w:val="004604F0"/>
    <w:rsid w:val="00460A69"/>
    <w:rsid w:val="00460D96"/>
    <w:rsid w:val="00461053"/>
    <w:rsid w:val="004610B4"/>
    <w:rsid w:val="00461CC8"/>
    <w:rsid w:val="0046252C"/>
    <w:rsid w:val="004626FA"/>
    <w:rsid w:val="004628E3"/>
    <w:rsid w:val="004637CF"/>
    <w:rsid w:val="004639CF"/>
    <w:rsid w:val="00464168"/>
    <w:rsid w:val="00464513"/>
    <w:rsid w:val="004646AA"/>
    <w:rsid w:val="00464E51"/>
    <w:rsid w:val="00465A2B"/>
    <w:rsid w:val="00465D58"/>
    <w:rsid w:val="00465EF9"/>
    <w:rsid w:val="00466991"/>
    <w:rsid w:val="00466F9E"/>
    <w:rsid w:val="004678BE"/>
    <w:rsid w:val="00470A1D"/>
    <w:rsid w:val="00470F0D"/>
    <w:rsid w:val="00470F90"/>
    <w:rsid w:val="00471FD6"/>
    <w:rsid w:val="00472A23"/>
    <w:rsid w:val="00472E59"/>
    <w:rsid w:val="00473320"/>
    <w:rsid w:val="004738C2"/>
    <w:rsid w:val="004746D6"/>
    <w:rsid w:val="00474D93"/>
    <w:rsid w:val="0047525A"/>
    <w:rsid w:val="00475D10"/>
    <w:rsid w:val="004772A6"/>
    <w:rsid w:val="00477339"/>
    <w:rsid w:val="00477578"/>
    <w:rsid w:val="00480BFC"/>
    <w:rsid w:val="004814E2"/>
    <w:rsid w:val="0048162B"/>
    <w:rsid w:val="00482051"/>
    <w:rsid w:val="00482543"/>
    <w:rsid w:val="00482FFE"/>
    <w:rsid w:val="00483293"/>
    <w:rsid w:val="004836F4"/>
    <w:rsid w:val="00483BC8"/>
    <w:rsid w:val="00483D61"/>
    <w:rsid w:val="00484315"/>
    <w:rsid w:val="00484B44"/>
    <w:rsid w:val="00484E63"/>
    <w:rsid w:val="00485143"/>
    <w:rsid w:val="004853CC"/>
    <w:rsid w:val="00485729"/>
    <w:rsid w:val="00485832"/>
    <w:rsid w:val="00485E06"/>
    <w:rsid w:val="004861E6"/>
    <w:rsid w:val="0048665D"/>
    <w:rsid w:val="00487536"/>
    <w:rsid w:val="004875D6"/>
    <w:rsid w:val="00487AB8"/>
    <w:rsid w:val="00490000"/>
    <w:rsid w:val="00490026"/>
    <w:rsid w:val="00490D01"/>
    <w:rsid w:val="00490E4B"/>
    <w:rsid w:val="004915AA"/>
    <w:rsid w:val="00491A98"/>
    <w:rsid w:val="00492FE8"/>
    <w:rsid w:val="00494715"/>
    <w:rsid w:val="004947E4"/>
    <w:rsid w:val="00494871"/>
    <w:rsid w:val="004953F2"/>
    <w:rsid w:val="004954CC"/>
    <w:rsid w:val="00495714"/>
    <w:rsid w:val="00495EB6"/>
    <w:rsid w:val="00496002"/>
    <w:rsid w:val="004965C8"/>
    <w:rsid w:val="004969C3"/>
    <w:rsid w:val="004970E1"/>
    <w:rsid w:val="004974D8"/>
    <w:rsid w:val="004A01CE"/>
    <w:rsid w:val="004A0563"/>
    <w:rsid w:val="004A12BC"/>
    <w:rsid w:val="004A1426"/>
    <w:rsid w:val="004A23B8"/>
    <w:rsid w:val="004A23D2"/>
    <w:rsid w:val="004A30AA"/>
    <w:rsid w:val="004A3773"/>
    <w:rsid w:val="004A3BF0"/>
    <w:rsid w:val="004A4D84"/>
    <w:rsid w:val="004A513D"/>
    <w:rsid w:val="004A70CF"/>
    <w:rsid w:val="004A7748"/>
    <w:rsid w:val="004A77D2"/>
    <w:rsid w:val="004A7E71"/>
    <w:rsid w:val="004B08E1"/>
    <w:rsid w:val="004B10F4"/>
    <w:rsid w:val="004B1130"/>
    <w:rsid w:val="004B11D4"/>
    <w:rsid w:val="004B13F8"/>
    <w:rsid w:val="004B16C0"/>
    <w:rsid w:val="004B1E37"/>
    <w:rsid w:val="004B1FF8"/>
    <w:rsid w:val="004B231C"/>
    <w:rsid w:val="004B27A0"/>
    <w:rsid w:val="004B417F"/>
    <w:rsid w:val="004B5CEA"/>
    <w:rsid w:val="004B653C"/>
    <w:rsid w:val="004B65DC"/>
    <w:rsid w:val="004B6A78"/>
    <w:rsid w:val="004B6ADE"/>
    <w:rsid w:val="004B6DF4"/>
    <w:rsid w:val="004B7206"/>
    <w:rsid w:val="004B7FCF"/>
    <w:rsid w:val="004C01CC"/>
    <w:rsid w:val="004C01D1"/>
    <w:rsid w:val="004C0BCA"/>
    <w:rsid w:val="004C19F1"/>
    <w:rsid w:val="004C24D2"/>
    <w:rsid w:val="004C3BE7"/>
    <w:rsid w:val="004C5723"/>
    <w:rsid w:val="004C5B8A"/>
    <w:rsid w:val="004C625E"/>
    <w:rsid w:val="004C6599"/>
    <w:rsid w:val="004C67C9"/>
    <w:rsid w:val="004C680D"/>
    <w:rsid w:val="004C6AD8"/>
    <w:rsid w:val="004C72DC"/>
    <w:rsid w:val="004C7645"/>
    <w:rsid w:val="004C7CB2"/>
    <w:rsid w:val="004C7E4D"/>
    <w:rsid w:val="004D09DA"/>
    <w:rsid w:val="004D0DB9"/>
    <w:rsid w:val="004D14B4"/>
    <w:rsid w:val="004D1881"/>
    <w:rsid w:val="004D1978"/>
    <w:rsid w:val="004D1A7E"/>
    <w:rsid w:val="004D24AE"/>
    <w:rsid w:val="004D31C4"/>
    <w:rsid w:val="004D3A43"/>
    <w:rsid w:val="004D3AA0"/>
    <w:rsid w:val="004D41E7"/>
    <w:rsid w:val="004D47BA"/>
    <w:rsid w:val="004D50CE"/>
    <w:rsid w:val="004D5960"/>
    <w:rsid w:val="004D597A"/>
    <w:rsid w:val="004D64C7"/>
    <w:rsid w:val="004D6C07"/>
    <w:rsid w:val="004D6E0A"/>
    <w:rsid w:val="004D7071"/>
    <w:rsid w:val="004D7088"/>
    <w:rsid w:val="004D714B"/>
    <w:rsid w:val="004D732F"/>
    <w:rsid w:val="004D7394"/>
    <w:rsid w:val="004D7A3A"/>
    <w:rsid w:val="004E05E1"/>
    <w:rsid w:val="004E0850"/>
    <w:rsid w:val="004E0C4C"/>
    <w:rsid w:val="004E183D"/>
    <w:rsid w:val="004E1900"/>
    <w:rsid w:val="004E1AE3"/>
    <w:rsid w:val="004E1FFD"/>
    <w:rsid w:val="004E2075"/>
    <w:rsid w:val="004E2634"/>
    <w:rsid w:val="004E263B"/>
    <w:rsid w:val="004E2925"/>
    <w:rsid w:val="004E3991"/>
    <w:rsid w:val="004E492F"/>
    <w:rsid w:val="004E4BFC"/>
    <w:rsid w:val="004E4CD7"/>
    <w:rsid w:val="004E4DB7"/>
    <w:rsid w:val="004E5101"/>
    <w:rsid w:val="004E6B69"/>
    <w:rsid w:val="004E6C5E"/>
    <w:rsid w:val="004E701E"/>
    <w:rsid w:val="004E71CD"/>
    <w:rsid w:val="004E7F97"/>
    <w:rsid w:val="004F0136"/>
    <w:rsid w:val="004F04C8"/>
    <w:rsid w:val="004F086A"/>
    <w:rsid w:val="004F0948"/>
    <w:rsid w:val="004F1184"/>
    <w:rsid w:val="004F1BDF"/>
    <w:rsid w:val="004F1E9B"/>
    <w:rsid w:val="004F25A2"/>
    <w:rsid w:val="004F2917"/>
    <w:rsid w:val="004F2C5A"/>
    <w:rsid w:val="004F2E79"/>
    <w:rsid w:val="004F335B"/>
    <w:rsid w:val="004F472A"/>
    <w:rsid w:val="004F4E88"/>
    <w:rsid w:val="004F4FC5"/>
    <w:rsid w:val="004F528B"/>
    <w:rsid w:val="004F59B2"/>
    <w:rsid w:val="004F59F4"/>
    <w:rsid w:val="004F5CD3"/>
    <w:rsid w:val="004F609A"/>
    <w:rsid w:val="004F6E1E"/>
    <w:rsid w:val="004F70F7"/>
    <w:rsid w:val="004F71DD"/>
    <w:rsid w:val="004F73DE"/>
    <w:rsid w:val="00500823"/>
    <w:rsid w:val="00501517"/>
    <w:rsid w:val="00501C93"/>
    <w:rsid w:val="005025CB"/>
    <w:rsid w:val="005032A9"/>
    <w:rsid w:val="0050337C"/>
    <w:rsid w:val="005036D2"/>
    <w:rsid w:val="005043FF"/>
    <w:rsid w:val="0050499D"/>
    <w:rsid w:val="00505044"/>
    <w:rsid w:val="00505A47"/>
    <w:rsid w:val="00505CCE"/>
    <w:rsid w:val="00505FCD"/>
    <w:rsid w:val="005064A4"/>
    <w:rsid w:val="00506668"/>
    <w:rsid w:val="00506A10"/>
    <w:rsid w:val="00506B25"/>
    <w:rsid w:val="00507A2E"/>
    <w:rsid w:val="0051000B"/>
    <w:rsid w:val="0051008B"/>
    <w:rsid w:val="0051089F"/>
    <w:rsid w:val="00510B03"/>
    <w:rsid w:val="005115F2"/>
    <w:rsid w:val="005116A8"/>
    <w:rsid w:val="00511A82"/>
    <w:rsid w:val="0051206E"/>
    <w:rsid w:val="00513E61"/>
    <w:rsid w:val="00514E77"/>
    <w:rsid w:val="00515AF6"/>
    <w:rsid w:val="00516D62"/>
    <w:rsid w:val="005170E1"/>
    <w:rsid w:val="00517AA4"/>
    <w:rsid w:val="00517F5A"/>
    <w:rsid w:val="005200CD"/>
    <w:rsid w:val="00520765"/>
    <w:rsid w:val="00520B5E"/>
    <w:rsid w:val="00520C6A"/>
    <w:rsid w:val="00520F0A"/>
    <w:rsid w:val="00523268"/>
    <w:rsid w:val="00523C67"/>
    <w:rsid w:val="00524051"/>
    <w:rsid w:val="00524099"/>
    <w:rsid w:val="00524196"/>
    <w:rsid w:val="00524354"/>
    <w:rsid w:val="00524B13"/>
    <w:rsid w:val="00524C4D"/>
    <w:rsid w:val="00524C58"/>
    <w:rsid w:val="005262F0"/>
    <w:rsid w:val="005262FE"/>
    <w:rsid w:val="005269DA"/>
    <w:rsid w:val="00527AD3"/>
    <w:rsid w:val="0053122A"/>
    <w:rsid w:val="00531263"/>
    <w:rsid w:val="00531808"/>
    <w:rsid w:val="005323B2"/>
    <w:rsid w:val="00533492"/>
    <w:rsid w:val="00534284"/>
    <w:rsid w:val="00534972"/>
    <w:rsid w:val="00534E80"/>
    <w:rsid w:val="005354AC"/>
    <w:rsid w:val="00535635"/>
    <w:rsid w:val="005356E4"/>
    <w:rsid w:val="005363C5"/>
    <w:rsid w:val="00536826"/>
    <w:rsid w:val="00536E22"/>
    <w:rsid w:val="00537DB5"/>
    <w:rsid w:val="00540024"/>
    <w:rsid w:val="0054028E"/>
    <w:rsid w:val="0054048E"/>
    <w:rsid w:val="00540723"/>
    <w:rsid w:val="00540D03"/>
    <w:rsid w:val="00541263"/>
    <w:rsid w:val="00541786"/>
    <w:rsid w:val="00542341"/>
    <w:rsid w:val="00542D72"/>
    <w:rsid w:val="005430D2"/>
    <w:rsid w:val="0054382E"/>
    <w:rsid w:val="00543C0B"/>
    <w:rsid w:val="005440CF"/>
    <w:rsid w:val="00544F8A"/>
    <w:rsid w:val="00545214"/>
    <w:rsid w:val="005455F1"/>
    <w:rsid w:val="00546D2E"/>
    <w:rsid w:val="0054711A"/>
    <w:rsid w:val="0054776B"/>
    <w:rsid w:val="00547F27"/>
    <w:rsid w:val="0055027A"/>
    <w:rsid w:val="00550911"/>
    <w:rsid w:val="00550C0D"/>
    <w:rsid w:val="00551543"/>
    <w:rsid w:val="00551951"/>
    <w:rsid w:val="00551A50"/>
    <w:rsid w:val="00551A60"/>
    <w:rsid w:val="00551E04"/>
    <w:rsid w:val="00552093"/>
    <w:rsid w:val="00552D35"/>
    <w:rsid w:val="005530E9"/>
    <w:rsid w:val="00553268"/>
    <w:rsid w:val="0055330F"/>
    <w:rsid w:val="00554AAA"/>
    <w:rsid w:val="00554B40"/>
    <w:rsid w:val="00554C88"/>
    <w:rsid w:val="0055518B"/>
    <w:rsid w:val="005553FB"/>
    <w:rsid w:val="00555D7E"/>
    <w:rsid w:val="00557390"/>
    <w:rsid w:val="005601A6"/>
    <w:rsid w:val="005608E3"/>
    <w:rsid w:val="00560A50"/>
    <w:rsid w:val="00561777"/>
    <w:rsid w:val="005624AB"/>
    <w:rsid w:val="005627CD"/>
    <w:rsid w:val="00562E84"/>
    <w:rsid w:val="0056381C"/>
    <w:rsid w:val="005638E0"/>
    <w:rsid w:val="00563BB1"/>
    <w:rsid w:val="00564888"/>
    <w:rsid w:val="00564AF5"/>
    <w:rsid w:val="00564FE3"/>
    <w:rsid w:val="005657FD"/>
    <w:rsid w:val="00565A29"/>
    <w:rsid w:val="00565F54"/>
    <w:rsid w:val="00565F8E"/>
    <w:rsid w:val="005660A7"/>
    <w:rsid w:val="00566534"/>
    <w:rsid w:val="00566EF0"/>
    <w:rsid w:val="0056709D"/>
    <w:rsid w:val="00567160"/>
    <w:rsid w:val="0057081B"/>
    <w:rsid w:val="00570D8F"/>
    <w:rsid w:val="0057114A"/>
    <w:rsid w:val="00571A65"/>
    <w:rsid w:val="00571B5A"/>
    <w:rsid w:val="0057236A"/>
    <w:rsid w:val="00572C13"/>
    <w:rsid w:val="00573E49"/>
    <w:rsid w:val="00573F9D"/>
    <w:rsid w:val="0057418C"/>
    <w:rsid w:val="00574355"/>
    <w:rsid w:val="0057437B"/>
    <w:rsid w:val="00574B9D"/>
    <w:rsid w:val="00574BAF"/>
    <w:rsid w:val="00574CFF"/>
    <w:rsid w:val="00574D81"/>
    <w:rsid w:val="005757FA"/>
    <w:rsid w:val="0057661C"/>
    <w:rsid w:val="0057679A"/>
    <w:rsid w:val="00577521"/>
    <w:rsid w:val="005779F0"/>
    <w:rsid w:val="00577B78"/>
    <w:rsid w:val="00580041"/>
    <w:rsid w:val="0058154E"/>
    <w:rsid w:val="00581559"/>
    <w:rsid w:val="005819DB"/>
    <w:rsid w:val="0058264B"/>
    <w:rsid w:val="00582B2F"/>
    <w:rsid w:val="00583B27"/>
    <w:rsid w:val="00584225"/>
    <w:rsid w:val="005843EF"/>
    <w:rsid w:val="005846C8"/>
    <w:rsid w:val="00584791"/>
    <w:rsid w:val="005848B2"/>
    <w:rsid w:val="00584E2A"/>
    <w:rsid w:val="00584E94"/>
    <w:rsid w:val="00585C27"/>
    <w:rsid w:val="00585C34"/>
    <w:rsid w:val="00586329"/>
    <w:rsid w:val="0058644F"/>
    <w:rsid w:val="0058697B"/>
    <w:rsid w:val="00586AE2"/>
    <w:rsid w:val="0058795F"/>
    <w:rsid w:val="00590736"/>
    <w:rsid w:val="00591174"/>
    <w:rsid w:val="00591F32"/>
    <w:rsid w:val="00593B71"/>
    <w:rsid w:val="00593C5B"/>
    <w:rsid w:val="005954B1"/>
    <w:rsid w:val="00595717"/>
    <w:rsid w:val="005968C2"/>
    <w:rsid w:val="00596A0B"/>
    <w:rsid w:val="00596ABD"/>
    <w:rsid w:val="00596CE5"/>
    <w:rsid w:val="005972F4"/>
    <w:rsid w:val="00597536"/>
    <w:rsid w:val="005A0148"/>
    <w:rsid w:val="005A027C"/>
    <w:rsid w:val="005A0EE7"/>
    <w:rsid w:val="005A1051"/>
    <w:rsid w:val="005A18F4"/>
    <w:rsid w:val="005A2469"/>
    <w:rsid w:val="005A2C73"/>
    <w:rsid w:val="005A351C"/>
    <w:rsid w:val="005A499C"/>
    <w:rsid w:val="005A5154"/>
    <w:rsid w:val="005A53B4"/>
    <w:rsid w:val="005A6131"/>
    <w:rsid w:val="005A6267"/>
    <w:rsid w:val="005A6716"/>
    <w:rsid w:val="005A7050"/>
    <w:rsid w:val="005B190F"/>
    <w:rsid w:val="005B1D60"/>
    <w:rsid w:val="005B1EEB"/>
    <w:rsid w:val="005B1F2E"/>
    <w:rsid w:val="005B299D"/>
    <w:rsid w:val="005B344B"/>
    <w:rsid w:val="005B3747"/>
    <w:rsid w:val="005B51D1"/>
    <w:rsid w:val="005B536A"/>
    <w:rsid w:val="005B5F53"/>
    <w:rsid w:val="005B617A"/>
    <w:rsid w:val="005B627B"/>
    <w:rsid w:val="005B7AAD"/>
    <w:rsid w:val="005C04FC"/>
    <w:rsid w:val="005C06E9"/>
    <w:rsid w:val="005C0EA3"/>
    <w:rsid w:val="005C1056"/>
    <w:rsid w:val="005C1B7E"/>
    <w:rsid w:val="005C1B7F"/>
    <w:rsid w:val="005C2302"/>
    <w:rsid w:val="005C2442"/>
    <w:rsid w:val="005C38AA"/>
    <w:rsid w:val="005C3E84"/>
    <w:rsid w:val="005C484E"/>
    <w:rsid w:val="005C4EEE"/>
    <w:rsid w:val="005C56C5"/>
    <w:rsid w:val="005C5746"/>
    <w:rsid w:val="005C5F24"/>
    <w:rsid w:val="005C6A96"/>
    <w:rsid w:val="005C6CEC"/>
    <w:rsid w:val="005C7773"/>
    <w:rsid w:val="005C7BEE"/>
    <w:rsid w:val="005C7D9B"/>
    <w:rsid w:val="005D0107"/>
    <w:rsid w:val="005D0379"/>
    <w:rsid w:val="005D0615"/>
    <w:rsid w:val="005D0BD6"/>
    <w:rsid w:val="005D1436"/>
    <w:rsid w:val="005D2237"/>
    <w:rsid w:val="005D2D31"/>
    <w:rsid w:val="005D378E"/>
    <w:rsid w:val="005D4D23"/>
    <w:rsid w:val="005D4D37"/>
    <w:rsid w:val="005D66E0"/>
    <w:rsid w:val="005D75D4"/>
    <w:rsid w:val="005D7712"/>
    <w:rsid w:val="005E0DDD"/>
    <w:rsid w:val="005E0E51"/>
    <w:rsid w:val="005E0EB8"/>
    <w:rsid w:val="005E109C"/>
    <w:rsid w:val="005E258B"/>
    <w:rsid w:val="005E29CB"/>
    <w:rsid w:val="005E36E6"/>
    <w:rsid w:val="005E3C0B"/>
    <w:rsid w:val="005E46E0"/>
    <w:rsid w:val="005E472F"/>
    <w:rsid w:val="005E4AA4"/>
    <w:rsid w:val="005E5A89"/>
    <w:rsid w:val="005E5F20"/>
    <w:rsid w:val="005E6932"/>
    <w:rsid w:val="005E7957"/>
    <w:rsid w:val="005E7A83"/>
    <w:rsid w:val="005E7E03"/>
    <w:rsid w:val="005F009F"/>
    <w:rsid w:val="005F08E8"/>
    <w:rsid w:val="005F1E60"/>
    <w:rsid w:val="005F266E"/>
    <w:rsid w:val="005F2E5A"/>
    <w:rsid w:val="005F3758"/>
    <w:rsid w:val="005F4000"/>
    <w:rsid w:val="005F44E0"/>
    <w:rsid w:val="005F46C3"/>
    <w:rsid w:val="005F505B"/>
    <w:rsid w:val="005F5094"/>
    <w:rsid w:val="005F50E4"/>
    <w:rsid w:val="005F5183"/>
    <w:rsid w:val="005F5688"/>
    <w:rsid w:val="005F62A0"/>
    <w:rsid w:val="005F63C3"/>
    <w:rsid w:val="005F6668"/>
    <w:rsid w:val="005F74A7"/>
    <w:rsid w:val="005F7C17"/>
    <w:rsid w:val="00601963"/>
    <w:rsid w:val="00601EA4"/>
    <w:rsid w:val="006025B1"/>
    <w:rsid w:val="006026E5"/>
    <w:rsid w:val="0060370B"/>
    <w:rsid w:val="00604A75"/>
    <w:rsid w:val="00604DCD"/>
    <w:rsid w:val="006054C2"/>
    <w:rsid w:val="00605DF5"/>
    <w:rsid w:val="006064CC"/>
    <w:rsid w:val="00607884"/>
    <w:rsid w:val="00607AB8"/>
    <w:rsid w:val="00607FF9"/>
    <w:rsid w:val="00610633"/>
    <w:rsid w:val="00610D47"/>
    <w:rsid w:val="0061118A"/>
    <w:rsid w:val="006116B7"/>
    <w:rsid w:val="00611B81"/>
    <w:rsid w:val="00611F39"/>
    <w:rsid w:val="00612517"/>
    <w:rsid w:val="00613A35"/>
    <w:rsid w:val="00613B83"/>
    <w:rsid w:val="00613F78"/>
    <w:rsid w:val="00614004"/>
    <w:rsid w:val="006159F6"/>
    <w:rsid w:val="00616299"/>
    <w:rsid w:val="00616A25"/>
    <w:rsid w:val="0061782F"/>
    <w:rsid w:val="00620015"/>
    <w:rsid w:val="006200B9"/>
    <w:rsid w:val="006200E9"/>
    <w:rsid w:val="006201E8"/>
    <w:rsid w:val="006209F8"/>
    <w:rsid w:val="0062193C"/>
    <w:rsid w:val="00621D58"/>
    <w:rsid w:val="00624B12"/>
    <w:rsid w:val="00624BF2"/>
    <w:rsid w:val="0062592B"/>
    <w:rsid w:val="00625BAA"/>
    <w:rsid w:val="0062612D"/>
    <w:rsid w:val="006264D3"/>
    <w:rsid w:val="006265CC"/>
    <w:rsid w:val="00626A2A"/>
    <w:rsid w:val="00626AE3"/>
    <w:rsid w:val="00627097"/>
    <w:rsid w:val="006273ED"/>
    <w:rsid w:val="006275F0"/>
    <w:rsid w:val="00627F70"/>
    <w:rsid w:val="006306A0"/>
    <w:rsid w:val="00630739"/>
    <w:rsid w:val="00630AA9"/>
    <w:rsid w:val="00631084"/>
    <w:rsid w:val="0063143E"/>
    <w:rsid w:val="0063166B"/>
    <w:rsid w:val="00631EBC"/>
    <w:rsid w:val="00632729"/>
    <w:rsid w:val="006346A5"/>
    <w:rsid w:val="00634F8A"/>
    <w:rsid w:val="00635231"/>
    <w:rsid w:val="00635851"/>
    <w:rsid w:val="00635A81"/>
    <w:rsid w:val="00635B30"/>
    <w:rsid w:val="00635EC8"/>
    <w:rsid w:val="00635ECB"/>
    <w:rsid w:val="00635EE5"/>
    <w:rsid w:val="00636560"/>
    <w:rsid w:val="0063761C"/>
    <w:rsid w:val="00637F41"/>
    <w:rsid w:val="00640379"/>
    <w:rsid w:val="0064066E"/>
    <w:rsid w:val="0064087A"/>
    <w:rsid w:val="00640A81"/>
    <w:rsid w:val="00640AA9"/>
    <w:rsid w:val="006417B3"/>
    <w:rsid w:val="006419F6"/>
    <w:rsid w:val="00641A00"/>
    <w:rsid w:val="00641BF8"/>
    <w:rsid w:val="00641E71"/>
    <w:rsid w:val="00642BBD"/>
    <w:rsid w:val="00642FD8"/>
    <w:rsid w:val="0064399B"/>
    <w:rsid w:val="00643D02"/>
    <w:rsid w:val="00643DA6"/>
    <w:rsid w:val="00644358"/>
    <w:rsid w:val="006449AE"/>
    <w:rsid w:val="0064545A"/>
    <w:rsid w:val="006459A3"/>
    <w:rsid w:val="0064628B"/>
    <w:rsid w:val="006464C8"/>
    <w:rsid w:val="00646885"/>
    <w:rsid w:val="006472F2"/>
    <w:rsid w:val="0064732D"/>
    <w:rsid w:val="00647C0B"/>
    <w:rsid w:val="00650566"/>
    <w:rsid w:val="00650938"/>
    <w:rsid w:val="00650AF5"/>
    <w:rsid w:val="00651199"/>
    <w:rsid w:val="00651472"/>
    <w:rsid w:val="006517C3"/>
    <w:rsid w:val="006525BF"/>
    <w:rsid w:val="00652814"/>
    <w:rsid w:val="00652B50"/>
    <w:rsid w:val="00652BD9"/>
    <w:rsid w:val="00653030"/>
    <w:rsid w:val="0065323B"/>
    <w:rsid w:val="0065341A"/>
    <w:rsid w:val="00653A0C"/>
    <w:rsid w:val="00654EFA"/>
    <w:rsid w:val="0065520D"/>
    <w:rsid w:val="00655CD8"/>
    <w:rsid w:val="00656893"/>
    <w:rsid w:val="00657534"/>
    <w:rsid w:val="006605CB"/>
    <w:rsid w:val="006613D4"/>
    <w:rsid w:val="006618E7"/>
    <w:rsid w:val="00661C21"/>
    <w:rsid w:val="00662251"/>
    <w:rsid w:val="00662291"/>
    <w:rsid w:val="00662767"/>
    <w:rsid w:val="00662A19"/>
    <w:rsid w:val="00664AB0"/>
    <w:rsid w:val="00665051"/>
    <w:rsid w:val="0066605F"/>
    <w:rsid w:val="006668D2"/>
    <w:rsid w:val="00667428"/>
    <w:rsid w:val="006674C3"/>
    <w:rsid w:val="00667719"/>
    <w:rsid w:val="00667DA5"/>
    <w:rsid w:val="00670AF5"/>
    <w:rsid w:val="006715A0"/>
    <w:rsid w:val="00671C75"/>
    <w:rsid w:val="006722CD"/>
    <w:rsid w:val="006723CB"/>
    <w:rsid w:val="00672C1E"/>
    <w:rsid w:val="00673977"/>
    <w:rsid w:val="00673D3C"/>
    <w:rsid w:val="00675B36"/>
    <w:rsid w:val="00676109"/>
    <w:rsid w:val="006764E0"/>
    <w:rsid w:val="00676680"/>
    <w:rsid w:val="00676793"/>
    <w:rsid w:val="0067691D"/>
    <w:rsid w:val="00677257"/>
    <w:rsid w:val="006777F4"/>
    <w:rsid w:val="006779CC"/>
    <w:rsid w:val="006808D5"/>
    <w:rsid w:val="00680F9D"/>
    <w:rsid w:val="0068183E"/>
    <w:rsid w:val="006818F3"/>
    <w:rsid w:val="00681FAF"/>
    <w:rsid w:val="0068297E"/>
    <w:rsid w:val="006838ED"/>
    <w:rsid w:val="0068410E"/>
    <w:rsid w:val="00684E31"/>
    <w:rsid w:val="0068516B"/>
    <w:rsid w:val="006856AB"/>
    <w:rsid w:val="00685AFF"/>
    <w:rsid w:val="0068629A"/>
    <w:rsid w:val="00686C01"/>
    <w:rsid w:val="00686D3F"/>
    <w:rsid w:val="00686EF3"/>
    <w:rsid w:val="00686F8A"/>
    <w:rsid w:val="00687083"/>
    <w:rsid w:val="006902EB"/>
    <w:rsid w:val="00690719"/>
    <w:rsid w:val="00690A3F"/>
    <w:rsid w:val="00690C79"/>
    <w:rsid w:val="00692EA3"/>
    <w:rsid w:val="006943EF"/>
    <w:rsid w:val="006956D0"/>
    <w:rsid w:val="00695ED8"/>
    <w:rsid w:val="00696022"/>
    <w:rsid w:val="0069636F"/>
    <w:rsid w:val="0069696D"/>
    <w:rsid w:val="00696A83"/>
    <w:rsid w:val="00696E38"/>
    <w:rsid w:val="00696F68"/>
    <w:rsid w:val="006A0A72"/>
    <w:rsid w:val="006A1361"/>
    <w:rsid w:val="006A1521"/>
    <w:rsid w:val="006A20E2"/>
    <w:rsid w:val="006A23FC"/>
    <w:rsid w:val="006A2834"/>
    <w:rsid w:val="006A3447"/>
    <w:rsid w:val="006A3E60"/>
    <w:rsid w:val="006A4245"/>
    <w:rsid w:val="006A4332"/>
    <w:rsid w:val="006A5800"/>
    <w:rsid w:val="006A5A4F"/>
    <w:rsid w:val="006A6AAE"/>
    <w:rsid w:val="006A6DA6"/>
    <w:rsid w:val="006A7FF1"/>
    <w:rsid w:val="006B1554"/>
    <w:rsid w:val="006B16BC"/>
    <w:rsid w:val="006B199A"/>
    <w:rsid w:val="006B21B6"/>
    <w:rsid w:val="006B23B8"/>
    <w:rsid w:val="006B2A65"/>
    <w:rsid w:val="006B2DDE"/>
    <w:rsid w:val="006B321F"/>
    <w:rsid w:val="006B4A72"/>
    <w:rsid w:val="006B56A9"/>
    <w:rsid w:val="006B5BA2"/>
    <w:rsid w:val="006B5BFB"/>
    <w:rsid w:val="006B63A2"/>
    <w:rsid w:val="006B6606"/>
    <w:rsid w:val="006B7385"/>
    <w:rsid w:val="006C04FB"/>
    <w:rsid w:val="006C0523"/>
    <w:rsid w:val="006C1922"/>
    <w:rsid w:val="006C19AB"/>
    <w:rsid w:val="006C3004"/>
    <w:rsid w:val="006C38B3"/>
    <w:rsid w:val="006C3C9D"/>
    <w:rsid w:val="006C3CF2"/>
    <w:rsid w:val="006C3F20"/>
    <w:rsid w:val="006C41EB"/>
    <w:rsid w:val="006C46F1"/>
    <w:rsid w:val="006C4850"/>
    <w:rsid w:val="006C4AAB"/>
    <w:rsid w:val="006C532C"/>
    <w:rsid w:val="006C5C49"/>
    <w:rsid w:val="006C5E8A"/>
    <w:rsid w:val="006C6136"/>
    <w:rsid w:val="006C6463"/>
    <w:rsid w:val="006C685C"/>
    <w:rsid w:val="006C6B4B"/>
    <w:rsid w:val="006C6B5E"/>
    <w:rsid w:val="006C77F2"/>
    <w:rsid w:val="006D0D89"/>
    <w:rsid w:val="006D12FE"/>
    <w:rsid w:val="006D1A16"/>
    <w:rsid w:val="006D1F63"/>
    <w:rsid w:val="006D1FBA"/>
    <w:rsid w:val="006D2101"/>
    <w:rsid w:val="006D2E1A"/>
    <w:rsid w:val="006D32CA"/>
    <w:rsid w:val="006D4015"/>
    <w:rsid w:val="006D437E"/>
    <w:rsid w:val="006D4BF8"/>
    <w:rsid w:val="006D7CC0"/>
    <w:rsid w:val="006E0EE3"/>
    <w:rsid w:val="006E104A"/>
    <w:rsid w:val="006E32CA"/>
    <w:rsid w:val="006E3468"/>
    <w:rsid w:val="006E3624"/>
    <w:rsid w:val="006E4370"/>
    <w:rsid w:val="006E4DEA"/>
    <w:rsid w:val="006E546D"/>
    <w:rsid w:val="006E5BD1"/>
    <w:rsid w:val="006E5C27"/>
    <w:rsid w:val="006E5CAE"/>
    <w:rsid w:val="006E60A8"/>
    <w:rsid w:val="006E6215"/>
    <w:rsid w:val="006E6C45"/>
    <w:rsid w:val="006F06BB"/>
    <w:rsid w:val="006F1DF1"/>
    <w:rsid w:val="006F238E"/>
    <w:rsid w:val="006F2AA8"/>
    <w:rsid w:val="006F2DB5"/>
    <w:rsid w:val="006F3462"/>
    <w:rsid w:val="006F3551"/>
    <w:rsid w:val="006F3A9F"/>
    <w:rsid w:val="006F3B0B"/>
    <w:rsid w:val="006F3F71"/>
    <w:rsid w:val="006F54B0"/>
    <w:rsid w:val="006F5C52"/>
    <w:rsid w:val="006F62BD"/>
    <w:rsid w:val="006F6823"/>
    <w:rsid w:val="006F697D"/>
    <w:rsid w:val="006F6B01"/>
    <w:rsid w:val="006F7C63"/>
    <w:rsid w:val="00700077"/>
    <w:rsid w:val="00700505"/>
    <w:rsid w:val="00700886"/>
    <w:rsid w:val="00700901"/>
    <w:rsid w:val="00701088"/>
    <w:rsid w:val="007024EE"/>
    <w:rsid w:val="007033AA"/>
    <w:rsid w:val="007037B1"/>
    <w:rsid w:val="007038F0"/>
    <w:rsid w:val="007044A3"/>
    <w:rsid w:val="00705518"/>
    <w:rsid w:val="00707321"/>
    <w:rsid w:val="0070756B"/>
    <w:rsid w:val="00707582"/>
    <w:rsid w:val="0070783B"/>
    <w:rsid w:val="007079FE"/>
    <w:rsid w:val="00707EC3"/>
    <w:rsid w:val="00710923"/>
    <w:rsid w:val="00711B99"/>
    <w:rsid w:val="00711D4F"/>
    <w:rsid w:val="00711DFE"/>
    <w:rsid w:val="00713091"/>
    <w:rsid w:val="007130A3"/>
    <w:rsid w:val="007137E1"/>
    <w:rsid w:val="0071416D"/>
    <w:rsid w:val="0071419F"/>
    <w:rsid w:val="007144D8"/>
    <w:rsid w:val="00715CB5"/>
    <w:rsid w:val="00716D03"/>
    <w:rsid w:val="00720124"/>
    <w:rsid w:val="0072034A"/>
    <w:rsid w:val="00721456"/>
    <w:rsid w:val="00721910"/>
    <w:rsid w:val="00721C3E"/>
    <w:rsid w:val="007225A9"/>
    <w:rsid w:val="0072284F"/>
    <w:rsid w:val="0072288F"/>
    <w:rsid w:val="00722B10"/>
    <w:rsid w:val="00723523"/>
    <w:rsid w:val="00724340"/>
    <w:rsid w:val="007244BC"/>
    <w:rsid w:val="00724704"/>
    <w:rsid w:val="00725119"/>
    <w:rsid w:val="0072554A"/>
    <w:rsid w:val="00725D01"/>
    <w:rsid w:val="0072641A"/>
    <w:rsid w:val="007270C7"/>
    <w:rsid w:val="007275CA"/>
    <w:rsid w:val="007275D3"/>
    <w:rsid w:val="007275F5"/>
    <w:rsid w:val="007306E6"/>
    <w:rsid w:val="007308FC"/>
    <w:rsid w:val="00730B65"/>
    <w:rsid w:val="00730EC0"/>
    <w:rsid w:val="00730F10"/>
    <w:rsid w:val="00731EC4"/>
    <w:rsid w:val="00731F6F"/>
    <w:rsid w:val="00731F86"/>
    <w:rsid w:val="0073294C"/>
    <w:rsid w:val="007330AB"/>
    <w:rsid w:val="0073336A"/>
    <w:rsid w:val="00733A0C"/>
    <w:rsid w:val="00733D3E"/>
    <w:rsid w:val="00733D55"/>
    <w:rsid w:val="00735787"/>
    <w:rsid w:val="00735B95"/>
    <w:rsid w:val="00736912"/>
    <w:rsid w:val="00736FD4"/>
    <w:rsid w:val="007402FD"/>
    <w:rsid w:val="007407AF"/>
    <w:rsid w:val="0074091E"/>
    <w:rsid w:val="00740A0D"/>
    <w:rsid w:val="0074126C"/>
    <w:rsid w:val="00741808"/>
    <w:rsid w:val="00741825"/>
    <w:rsid w:val="00742191"/>
    <w:rsid w:val="0074227B"/>
    <w:rsid w:val="00742636"/>
    <w:rsid w:val="00743428"/>
    <w:rsid w:val="00743F5D"/>
    <w:rsid w:val="00743F63"/>
    <w:rsid w:val="00744FB3"/>
    <w:rsid w:val="00745074"/>
    <w:rsid w:val="00745783"/>
    <w:rsid w:val="007468CE"/>
    <w:rsid w:val="00746AC4"/>
    <w:rsid w:val="00746D50"/>
    <w:rsid w:val="00747156"/>
    <w:rsid w:val="007476C1"/>
    <w:rsid w:val="00747A71"/>
    <w:rsid w:val="00747C70"/>
    <w:rsid w:val="00747CA5"/>
    <w:rsid w:val="007501BF"/>
    <w:rsid w:val="00750B29"/>
    <w:rsid w:val="00750C4B"/>
    <w:rsid w:val="00751986"/>
    <w:rsid w:val="00751E68"/>
    <w:rsid w:val="00751FEE"/>
    <w:rsid w:val="00752C5D"/>
    <w:rsid w:val="00752EE2"/>
    <w:rsid w:val="007535F0"/>
    <w:rsid w:val="00753686"/>
    <w:rsid w:val="007538C2"/>
    <w:rsid w:val="007539A8"/>
    <w:rsid w:val="00753CD1"/>
    <w:rsid w:val="00754774"/>
    <w:rsid w:val="00754846"/>
    <w:rsid w:val="0075506E"/>
    <w:rsid w:val="00755111"/>
    <w:rsid w:val="007559EF"/>
    <w:rsid w:val="0075702B"/>
    <w:rsid w:val="00757111"/>
    <w:rsid w:val="007576DC"/>
    <w:rsid w:val="00760019"/>
    <w:rsid w:val="00761F27"/>
    <w:rsid w:val="007622A2"/>
    <w:rsid w:val="007624F4"/>
    <w:rsid w:val="007625D9"/>
    <w:rsid w:val="007629D6"/>
    <w:rsid w:val="00763B19"/>
    <w:rsid w:val="00763BFF"/>
    <w:rsid w:val="007644C4"/>
    <w:rsid w:val="007654BB"/>
    <w:rsid w:val="00765B02"/>
    <w:rsid w:val="00766049"/>
    <w:rsid w:val="00766D45"/>
    <w:rsid w:val="0076793B"/>
    <w:rsid w:val="00767B55"/>
    <w:rsid w:val="00767DBF"/>
    <w:rsid w:val="00770023"/>
    <w:rsid w:val="007707E6"/>
    <w:rsid w:val="00770B41"/>
    <w:rsid w:val="00770B47"/>
    <w:rsid w:val="00770C08"/>
    <w:rsid w:val="00770DCD"/>
    <w:rsid w:val="007717B7"/>
    <w:rsid w:val="007722FC"/>
    <w:rsid w:val="00772BF1"/>
    <w:rsid w:val="007739A4"/>
    <w:rsid w:val="00773C06"/>
    <w:rsid w:val="00773F9F"/>
    <w:rsid w:val="007744E7"/>
    <w:rsid w:val="007747AA"/>
    <w:rsid w:val="00774A82"/>
    <w:rsid w:val="00776229"/>
    <w:rsid w:val="007772BB"/>
    <w:rsid w:val="00777693"/>
    <w:rsid w:val="00777842"/>
    <w:rsid w:val="00777BE3"/>
    <w:rsid w:val="00777D99"/>
    <w:rsid w:val="00780347"/>
    <w:rsid w:val="00781E8E"/>
    <w:rsid w:val="007824BD"/>
    <w:rsid w:val="00782852"/>
    <w:rsid w:val="0078296B"/>
    <w:rsid w:val="00782AF2"/>
    <w:rsid w:val="00782B99"/>
    <w:rsid w:val="007833C1"/>
    <w:rsid w:val="007835F2"/>
    <w:rsid w:val="0078361A"/>
    <w:rsid w:val="00785514"/>
    <w:rsid w:val="00785A2A"/>
    <w:rsid w:val="00785C59"/>
    <w:rsid w:val="00785E48"/>
    <w:rsid w:val="00786950"/>
    <w:rsid w:val="00786A3E"/>
    <w:rsid w:val="00786F93"/>
    <w:rsid w:val="0079043C"/>
    <w:rsid w:val="00790E5E"/>
    <w:rsid w:val="00791A80"/>
    <w:rsid w:val="00792033"/>
    <w:rsid w:val="00793170"/>
    <w:rsid w:val="0079358D"/>
    <w:rsid w:val="007935DF"/>
    <w:rsid w:val="00793C3C"/>
    <w:rsid w:val="00794F48"/>
    <w:rsid w:val="00795B86"/>
    <w:rsid w:val="007963BF"/>
    <w:rsid w:val="00796CB7"/>
    <w:rsid w:val="00797085"/>
    <w:rsid w:val="007A0BF6"/>
    <w:rsid w:val="007A0C9B"/>
    <w:rsid w:val="007A2409"/>
    <w:rsid w:val="007A265B"/>
    <w:rsid w:val="007A373D"/>
    <w:rsid w:val="007A3829"/>
    <w:rsid w:val="007A43A2"/>
    <w:rsid w:val="007A5172"/>
    <w:rsid w:val="007A5AF1"/>
    <w:rsid w:val="007A612F"/>
    <w:rsid w:val="007A652E"/>
    <w:rsid w:val="007A68E1"/>
    <w:rsid w:val="007A693D"/>
    <w:rsid w:val="007A71BF"/>
    <w:rsid w:val="007A754E"/>
    <w:rsid w:val="007A75EF"/>
    <w:rsid w:val="007A7DC0"/>
    <w:rsid w:val="007B00F8"/>
    <w:rsid w:val="007B055B"/>
    <w:rsid w:val="007B1CDE"/>
    <w:rsid w:val="007B2C05"/>
    <w:rsid w:val="007B2CA4"/>
    <w:rsid w:val="007B383C"/>
    <w:rsid w:val="007B415B"/>
    <w:rsid w:val="007B5A6F"/>
    <w:rsid w:val="007B6610"/>
    <w:rsid w:val="007B7071"/>
    <w:rsid w:val="007B7885"/>
    <w:rsid w:val="007B7DDF"/>
    <w:rsid w:val="007C00E6"/>
    <w:rsid w:val="007C0179"/>
    <w:rsid w:val="007C03F9"/>
    <w:rsid w:val="007C08E7"/>
    <w:rsid w:val="007C09B3"/>
    <w:rsid w:val="007C0AD9"/>
    <w:rsid w:val="007C0FE8"/>
    <w:rsid w:val="007C16D3"/>
    <w:rsid w:val="007C1D0C"/>
    <w:rsid w:val="007C205E"/>
    <w:rsid w:val="007C2E01"/>
    <w:rsid w:val="007C34B9"/>
    <w:rsid w:val="007C3B18"/>
    <w:rsid w:val="007C3CA3"/>
    <w:rsid w:val="007C4D9A"/>
    <w:rsid w:val="007C50D7"/>
    <w:rsid w:val="007C527C"/>
    <w:rsid w:val="007C5883"/>
    <w:rsid w:val="007C6948"/>
    <w:rsid w:val="007C6CB7"/>
    <w:rsid w:val="007C70EE"/>
    <w:rsid w:val="007C7137"/>
    <w:rsid w:val="007C74EC"/>
    <w:rsid w:val="007D04B2"/>
    <w:rsid w:val="007D0953"/>
    <w:rsid w:val="007D0F0A"/>
    <w:rsid w:val="007D149D"/>
    <w:rsid w:val="007D269A"/>
    <w:rsid w:val="007D3370"/>
    <w:rsid w:val="007D3375"/>
    <w:rsid w:val="007D337D"/>
    <w:rsid w:val="007D3652"/>
    <w:rsid w:val="007D4164"/>
    <w:rsid w:val="007D4676"/>
    <w:rsid w:val="007D5050"/>
    <w:rsid w:val="007D51AD"/>
    <w:rsid w:val="007D570D"/>
    <w:rsid w:val="007D5A0B"/>
    <w:rsid w:val="007D5C67"/>
    <w:rsid w:val="007D6526"/>
    <w:rsid w:val="007D653C"/>
    <w:rsid w:val="007D6857"/>
    <w:rsid w:val="007D69BB"/>
    <w:rsid w:val="007D7BF2"/>
    <w:rsid w:val="007D7DF8"/>
    <w:rsid w:val="007E0179"/>
    <w:rsid w:val="007E07EC"/>
    <w:rsid w:val="007E0882"/>
    <w:rsid w:val="007E1ABB"/>
    <w:rsid w:val="007E2A96"/>
    <w:rsid w:val="007E3459"/>
    <w:rsid w:val="007E4A51"/>
    <w:rsid w:val="007E6570"/>
    <w:rsid w:val="007E6EFE"/>
    <w:rsid w:val="007F05D9"/>
    <w:rsid w:val="007F0818"/>
    <w:rsid w:val="007F0D67"/>
    <w:rsid w:val="007F2304"/>
    <w:rsid w:val="007F2680"/>
    <w:rsid w:val="007F2CF1"/>
    <w:rsid w:val="007F308A"/>
    <w:rsid w:val="007F322E"/>
    <w:rsid w:val="007F4450"/>
    <w:rsid w:val="007F4AB3"/>
    <w:rsid w:val="007F64F1"/>
    <w:rsid w:val="007F6B04"/>
    <w:rsid w:val="007F6BE9"/>
    <w:rsid w:val="007F74CD"/>
    <w:rsid w:val="00801514"/>
    <w:rsid w:val="0080233F"/>
    <w:rsid w:val="00802883"/>
    <w:rsid w:val="0080291F"/>
    <w:rsid w:val="00802F8A"/>
    <w:rsid w:val="008031B6"/>
    <w:rsid w:val="00805462"/>
    <w:rsid w:val="008055B9"/>
    <w:rsid w:val="00805CBA"/>
    <w:rsid w:val="00806317"/>
    <w:rsid w:val="00806372"/>
    <w:rsid w:val="008068AC"/>
    <w:rsid w:val="00806CEE"/>
    <w:rsid w:val="00807268"/>
    <w:rsid w:val="00807D39"/>
    <w:rsid w:val="008117F1"/>
    <w:rsid w:val="00811A9F"/>
    <w:rsid w:val="00812A23"/>
    <w:rsid w:val="00812C06"/>
    <w:rsid w:val="00813041"/>
    <w:rsid w:val="008147EC"/>
    <w:rsid w:val="00814A64"/>
    <w:rsid w:val="00816359"/>
    <w:rsid w:val="0081650C"/>
    <w:rsid w:val="00816871"/>
    <w:rsid w:val="00817290"/>
    <w:rsid w:val="008172EC"/>
    <w:rsid w:val="008178AF"/>
    <w:rsid w:val="00817B85"/>
    <w:rsid w:val="00817F5B"/>
    <w:rsid w:val="0082076E"/>
    <w:rsid w:val="00820C23"/>
    <w:rsid w:val="00820C61"/>
    <w:rsid w:val="0082177B"/>
    <w:rsid w:val="008220A9"/>
    <w:rsid w:val="008229EC"/>
    <w:rsid w:val="00822AA7"/>
    <w:rsid w:val="00822F5F"/>
    <w:rsid w:val="008238C6"/>
    <w:rsid w:val="00824043"/>
    <w:rsid w:val="00824668"/>
    <w:rsid w:val="00824E82"/>
    <w:rsid w:val="00825A6B"/>
    <w:rsid w:val="0082634B"/>
    <w:rsid w:val="008269E2"/>
    <w:rsid w:val="0082716A"/>
    <w:rsid w:val="008274E2"/>
    <w:rsid w:val="008278F8"/>
    <w:rsid w:val="00827BAC"/>
    <w:rsid w:val="008308CD"/>
    <w:rsid w:val="00830F67"/>
    <w:rsid w:val="00831B61"/>
    <w:rsid w:val="00831C30"/>
    <w:rsid w:val="00831D71"/>
    <w:rsid w:val="00831E93"/>
    <w:rsid w:val="00832287"/>
    <w:rsid w:val="0083254E"/>
    <w:rsid w:val="00832EDF"/>
    <w:rsid w:val="00833180"/>
    <w:rsid w:val="00833612"/>
    <w:rsid w:val="0083383E"/>
    <w:rsid w:val="00833ACA"/>
    <w:rsid w:val="008340E0"/>
    <w:rsid w:val="00834452"/>
    <w:rsid w:val="008346AD"/>
    <w:rsid w:val="00834E80"/>
    <w:rsid w:val="00835166"/>
    <w:rsid w:val="00835803"/>
    <w:rsid w:val="00835BF4"/>
    <w:rsid w:val="00835D11"/>
    <w:rsid w:val="008366EA"/>
    <w:rsid w:val="00836F37"/>
    <w:rsid w:val="008374B8"/>
    <w:rsid w:val="008374E1"/>
    <w:rsid w:val="00837676"/>
    <w:rsid w:val="00837CFF"/>
    <w:rsid w:val="0084001E"/>
    <w:rsid w:val="008405CD"/>
    <w:rsid w:val="00840B93"/>
    <w:rsid w:val="008414D9"/>
    <w:rsid w:val="008416E9"/>
    <w:rsid w:val="00841B6F"/>
    <w:rsid w:val="00842565"/>
    <w:rsid w:val="00842CC6"/>
    <w:rsid w:val="00842DDC"/>
    <w:rsid w:val="00842E44"/>
    <w:rsid w:val="008436FC"/>
    <w:rsid w:val="0084415D"/>
    <w:rsid w:val="00844591"/>
    <w:rsid w:val="008448CB"/>
    <w:rsid w:val="0084589F"/>
    <w:rsid w:val="00845933"/>
    <w:rsid w:val="00845A53"/>
    <w:rsid w:val="00846994"/>
    <w:rsid w:val="008471DF"/>
    <w:rsid w:val="0084797F"/>
    <w:rsid w:val="00847FD2"/>
    <w:rsid w:val="0085053C"/>
    <w:rsid w:val="00850DDB"/>
    <w:rsid w:val="008519E3"/>
    <w:rsid w:val="00851B58"/>
    <w:rsid w:val="0085201D"/>
    <w:rsid w:val="008521C7"/>
    <w:rsid w:val="00854701"/>
    <w:rsid w:val="00854AD9"/>
    <w:rsid w:val="00855A36"/>
    <w:rsid w:val="00855B19"/>
    <w:rsid w:val="00855FFA"/>
    <w:rsid w:val="00856588"/>
    <w:rsid w:val="008567A0"/>
    <w:rsid w:val="00860454"/>
    <w:rsid w:val="008604F0"/>
    <w:rsid w:val="00860C6F"/>
    <w:rsid w:val="00860CF0"/>
    <w:rsid w:val="0086117C"/>
    <w:rsid w:val="008613DD"/>
    <w:rsid w:val="0086301C"/>
    <w:rsid w:val="00863033"/>
    <w:rsid w:val="0086350F"/>
    <w:rsid w:val="0086398E"/>
    <w:rsid w:val="00863BDD"/>
    <w:rsid w:val="00863D32"/>
    <w:rsid w:val="0086462C"/>
    <w:rsid w:val="0086487A"/>
    <w:rsid w:val="00864999"/>
    <w:rsid w:val="00864BD3"/>
    <w:rsid w:val="00865C0D"/>
    <w:rsid w:val="00866331"/>
    <w:rsid w:val="008664AD"/>
    <w:rsid w:val="00867F19"/>
    <w:rsid w:val="0087040E"/>
    <w:rsid w:val="00870561"/>
    <w:rsid w:val="00870C94"/>
    <w:rsid w:val="00871258"/>
    <w:rsid w:val="00871B83"/>
    <w:rsid w:val="008727BB"/>
    <w:rsid w:val="008728AA"/>
    <w:rsid w:val="00872B23"/>
    <w:rsid w:val="00872CCC"/>
    <w:rsid w:val="008738DC"/>
    <w:rsid w:val="008750AA"/>
    <w:rsid w:val="00876B68"/>
    <w:rsid w:val="008771D1"/>
    <w:rsid w:val="00877511"/>
    <w:rsid w:val="00877B89"/>
    <w:rsid w:val="008808AC"/>
    <w:rsid w:val="00880999"/>
    <w:rsid w:val="00881875"/>
    <w:rsid w:val="00882180"/>
    <w:rsid w:val="008825E1"/>
    <w:rsid w:val="008827AA"/>
    <w:rsid w:val="0088312E"/>
    <w:rsid w:val="0088373A"/>
    <w:rsid w:val="00883BC9"/>
    <w:rsid w:val="0088409E"/>
    <w:rsid w:val="0088431F"/>
    <w:rsid w:val="008849CE"/>
    <w:rsid w:val="00884D2C"/>
    <w:rsid w:val="0088594E"/>
    <w:rsid w:val="00886582"/>
    <w:rsid w:val="00886622"/>
    <w:rsid w:val="0088683A"/>
    <w:rsid w:val="00887EA1"/>
    <w:rsid w:val="00890B40"/>
    <w:rsid w:val="00892401"/>
    <w:rsid w:val="008930C4"/>
    <w:rsid w:val="00894D33"/>
    <w:rsid w:val="00894D9D"/>
    <w:rsid w:val="008953A1"/>
    <w:rsid w:val="00895787"/>
    <w:rsid w:val="00895D15"/>
    <w:rsid w:val="008967D4"/>
    <w:rsid w:val="00896DD2"/>
    <w:rsid w:val="00897445"/>
    <w:rsid w:val="0089779D"/>
    <w:rsid w:val="008977CC"/>
    <w:rsid w:val="00897831"/>
    <w:rsid w:val="00897C41"/>
    <w:rsid w:val="008A0A10"/>
    <w:rsid w:val="008A19C7"/>
    <w:rsid w:val="008A19E0"/>
    <w:rsid w:val="008A1EEC"/>
    <w:rsid w:val="008A1FA8"/>
    <w:rsid w:val="008A25C7"/>
    <w:rsid w:val="008A2665"/>
    <w:rsid w:val="008A2E99"/>
    <w:rsid w:val="008A3676"/>
    <w:rsid w:val="008A3755"/>
    <w:rsid w:val="008A3E7C"/>
    <w:rsid w:val="008A41BF"/>
    <w:rsid w:val="008A41F2"/>
    <w:rsid w:val="008A446E"/>
    <w:rsid w:val="008A4656"/>
    <w:rsid w:val="008A48F1"/>
    <w:rsid w:val="008A52B6"/>
    <w:rsid w:val="008A62F1"/>
    <w:rsid w:val="008A63D3"/>
    <w:rsid w:val="008A6C5F"/>
    <w:rsid w:val="008A7D76"/>
    <w:rsid w:val="008A7DF6"/>
    <w:rsid w:val="008A7F6D"/>
    <w:rsid w:val="008A7F88"/>
    <w:rsid w:val="008B05ED"/>
    <w:rsid w:val="008B0E5C"/>
    <w:rsid w:val="008B0EEA"/>
    <w:rsid w:val="008B1899"/>
    <w:rsid w:val="008B2525"/>
    <w:rsid w:val="008B2DAB"/>
    <w:rsid w:val="008B2E4B"/>
    <w:rsid w:val="008B3A07"/>
    <w:rsid w:val="008B3B86"/>
    <w:rsid w:val="008B3E89"/>
    <w:rsid w:val="008B49AD"/>
    <w:rsid w:val="008B49F2"/>
    <w:rsid w:val="008B5645"/>
    <w:rsid w:val="008B5B17"/>
    <w:rsid w:val="008B5B84"/>
    <w:rsid w:val="008B61D8"/>
    <w:rsid w:val="008B70F5"/>
    <w:rsid w:val="008B7C6A"/>
    <w:rsid w:val="008B7F70"/>
    <w:rsid w:val="008C027C"/>
    <w:rsid w:val="008C06E8"/>
    <w:rsid w:val="008C073A"/>
    <w:rsid w:val="008C174D"/>
    <w:rsid w:val="008C17DF"/>
    <w:rsid w:val="008C2740"/>
    <w:rsid w:val="008C361E"/>
    <w:rsid w:val="008C364F"/>
    <w:rsid w:val="008C3985"/>
    <w:rsid w:val="008C3D79"/>
    <w:rsid w:val="008C4191"/>
    <w:rsid w:val="008C4B43"/>
    <w:rsid w:val="008C4BAA"/>
    <w:rsid w:val="008C4E94"/>
    <w:rsid w:val="008C538B"/>
    <w:rsid w:val="008C5E08"/>
    <w:rsid w:val="008C6005"/>
    <w:rsid w:val="008D172C"/>
    <w:rsid w:val="008D17E6"/>
    <w:rsid w:val="008D1B87"/>
    <w:rsid w:val="008D276D"/>
    <w:rsid w:val="008D2AC8"/>
    <w:rsid w:val="008D2EC0"/>
    <w:rsid w:val="008D3341"/>
    <w:rsid w:val="008D33EB"/>
    <w:rsid w:val="008D3E6B"/>
    <w:rsid w:val="008D4188"/>
    <w:rsid w:val="008D4FF4"/>
    <w:rsid w:val="008D562E"/>
    <w:rsid w:val="008D5760"/>
    <w:rsid w:val="008D6CF5"/>
    <w:rsid w:val="008D713A"/>
    <w:rsid w:val="008D73F5"/>
    <w:rsid w:val="008D7AA2"/>
    <w:rsid w:val="008D7D2C"/>
    <w:rsid w:val="008E0120"/>
    <w:rsid w:val="008E0A29"/>
    <w:rsid w:val="008E2F9B"/>
    <w:rsid w:val="008E4CFE"/>
    <w:rsid w:val="008E508C"/>
    <w:rsid w:val="008E5758"/>
    <w:rsid w:val="008E6CDC"/>
    <w:rsid w:val="008E7315"/>
    <w:rsid w:val="008E7625"/>
    <w:rsid w:val="008E765C"/>
    <w:rsid w:val="008E7B78"/>
    <w:rsid w:val="008E7CD5"/>
    <w:rsid w:val="008E7F31"/>
    <w:rsid w:val="008F088E"/>
    <w:rsid w:val="008F08C3"/>
    <w:rsid w:val="008F0B0C"/>
    <w:rsid w:val="008F0E2F"/>
    <w:rsid w:val="008F1052"/>
    <w:rsid w:val="008F1433"/>
    <w:rsid w:val="008F17CF"/>
    <w:rsid w:val="008F1BB1"/>
    <w:rsid w:val="008F206E"/>
    <w:rsid w:val="008F2CA1"/>
    <w:rsid w:val="008F41EC"/>
    <w:rsid w:val="008F4B30"/>
    <w:rsid w:val="008F4EBF"/>
    <w:rsid w:val="008F5B6A"/>
    <w:rsid w:val="008F64E4"/>
    <w:rsid w:val="008F670D"/>
    <w:rsid w:val="008F68A3"/>
    <w:rsid w:val="008F73E4"/>
    <w:rsid w:val="008F772B"/>
    <w:rsid w:val="0090006A"/>
    <w:rsid w:val="00900368"/>
    <w:rsid w:val="009010E3"/>
    <w:rsid w:val="00901239"/>
    <w:rsid w:val="00901F20"/>
    <w:rsid w:val="00903C3D"/>
    <w:rsid w:val="009041C2"/>
    <w:rsid w:val="009043DC"/>
    <w:rsid w:val="009049B3"/>
    <w:rsid w:val="009067A4"/>
    <w:rsid w:val="0090730B"/>
    <w:rsid w:val="009074AD"/>
    <w:rsid w:val="00907B64"/>
    <w:rsid w:val="00907F55"/>
    <w:rsid w:val="00912426"/>
    <w:rsid w:val="00912753"/>
    <w:rsid w:val="00912A5F"/>
    <w:rsid w:val="00912B65"/>
    <w:rsid w:val="009135CF"/>
    <w:rsid w:val="009143F9"/>
    <w:rsid w:val="00914B3A"/>
    <w:rsid w:val="00914D7A"/>
    <w:rsid w:val="00915062"/>
    <w:rsid w:val="00916B33"/>
    <w:rsid w:val="00916BF1"/>
    <w:rsid w:val="0091776C"/>
    <w:rsid w:val="00920466"/>
    <w:rsid w:val="00920FEB"/>
    <w:rsid w:val="00921562"/>
    <w:rsid w:val="00922A4D"/>
    <w:rsid w:val="0092337E"/>
    <w:rsid w:val="00923930"/>
    <w:rsid w:val="00924069"/>
    <w:rsid w:val="009241FC"/>
    <w:rsid w:val="009250BD"/>
    <w:rsid w:val="009253FA"/>
    <w:rsid w:val="0092549D"/>
    <w:rsid w:val="009259F9"/>
    <w:rsid w:val="00925F33"/>
    <w:rsid w:val="00926233"/>
    <w:rsid w:val="00926E69"/>
    <w:rsid w:val="00927060"/>
    <w:rsid w:val="009276A6"/>
    <w:rsid w:val="00927797"/>
    <w:rsid w:val="00930B09"/>
    <w:rsid w:val="00931193"/>
    <w:rsid w:val="0093182E"/>
    <w:rsid w:val="009319C3"/>
    <w:rsid w:val="00931A2E"/>
    <w:rsid w:val="00932196"/>
    <w:rsid w:val="00932397"/>
    <w:rsid w:val="00932775"/>
    <w:rsid w:val="0093322B"/>
    <w:rsid w:val="0093388C"/>
    <w:rsid w:val="009340F4"/>
    <w:rsid w:val="009351A4"/>
    <w:rsid w:val="00935353"/>
    <w:rsid w:val="00935A15"/>
    <w:rsid w:val="00935DB9"/>
    <w:rsid w:val="00935E6D"/>
    <w:rsid w:val="0093606B"/>
    <w:rsid w:val="00936A19"/>
    <w:rsid w:val="00936B1A"/>
    <w:rsid w:val="00936FCA"/>
    <w:rsid w:val="009374EE"/>
    <w:rsid w:val="00937998"/>
    <w:rsid w:val="00937F1E"/>
    <w:rsid w:val="009400C5"/>
    <w:rsid w:val="009403D3"/>
    <w:rsid w:val="009405FF"/>
    <w:rsid w:val="009407B8"/>
    <w:rsid w:val="00940A75"/>
    <w:rsid w:val="00940E9B"/>
    <w:rsid w:val="009416DD"/>
    <w:rsid w:val="00941820"/>
    <w:rsid w:val="00941D24"/>
    <w:rsid w:val="0094488D"/>
    <w:rsid w:val="00944B71"/>
    <w:rsid w:val="0094581E"/>
    <w:rsid w:val="00945FED"/>
    <w:rsid w:val="00946DEF"/>
    <w:rsid w:val="0094731A"/>
    <w:rsid w:val="009473B4"/>
    <w:rsid w:val="00947806"/>
    <w:rsid w:val="00947DD7"/>
    <w:rsid w:val="00947FF3"/>
    <w:rsid w:val="00950554"/>
    <w:rsid w:val="00950797"/>
    <w:rsid w:val="00950C7E"/>
    <w:rsid w:val="00951F25"/>
    <w:rsid w:val="009524A1"/>
    <w:rsid w:val="00952734"/>
    <w:rsid w:val="009534AE"/>
    <w:rsid w:val="00954AA5"/>
    <w:rsid w:val="00954BFB"/>
    <w:rsid w:val="009551B5"/>
    <w:rsid w:val="00955B07"/>
    <w:rsid w:val="00956178"/>
    <w:rsid w:val="00956B87"/>
    <w:rsid w:val="00957224"/>
    <w:rsid w:val="00957BDF"/>
    <w:rsid w:val="00957D44"/>
    <w:rsid w:val="009615CA"/>
    <w:rsid w:val="00961776"/>
    <w:rsid w:val="00961A59"/>
    <w:rsid w:val="00962C8D"/>
    <w:rsid w:val="00962EC2"/>
    <w:rsid w:val="00963C0A"/>
    <w:rsid w:val="00963E96"/>
    <w:rsid w:val="00964674"/>
    <w:rsid w:val="00964923"/>
    <w:rsid w:val="0096564A"/>
    <w:rsid w:val="00965E7B"/>
    <w:rsid w:val="00966C9F"/>
    <w:rsid w:val="00966F62"/>
    <w:rsid w:val="0096723F"/>
    <w:rsid w:val="00967BBC"/>
    <w:rsid w:val="00967E24"/>
    <w:rsid w:val="00970068"/>
    <w:rsid w:val="009700EF"/>
    <w:rsid w:val="009711D0"/>
    <w:rsid w:val="009721D5"/>
    <w:rsid w:val="009725CC"/>
    <w:rsid w:val="00974140"/>
    <w:rsid w:val="009742E5"/>
    <w:rsid w:val="009743BA"/>
    <w:rsid w:val="00975CF1"/>
    <w:rsid w:val="00976749"/>
    <w:rsid w:val="00977074"/>
    <w:rsid w:val="00977394"/>
    <w:rsid w:val="009773BA"/>
    <w:rsid w:val="00977D41"/>
    <w:rsid w:val="00977DE3"/>
    <w:rsid w:val="009802F7"/>
    <w:rsid w:val="0098158E"/>
    <w:rsid w:val="00982409"/>
    <w:rsid w:val="009828B2"/>
    <w:rsid w:val="00982A1B"/>
    <w:rsid w:val="00983148"/>
    <w:rsid w:val="0098349C"/>
    <w:rsid w:val="009837C8"/>
    <w:rsid w:val="00983F9A"/>
    <w:rsid w:val="009840A9"/>
    <w:rsid w:val="009843AC"/>
    <w:rsid w:val="00984889"/>
    <w:rsid w:val="00984933"/>
    <w:rsid w:val="0098506B"/>
    <w:rsid w:val="009853A9"/>
    <w:rsid w:val="009854DC"/>
    <w:rsid w:val="00985A00"/>
    <w:rsid w:val="00986ED9"/>
    <w:rsid w:val="00987B5D"/>
    <w:rsid w:val="00987E41"/>
    <w:rsid w:val="00990498"/>
    <w:rsid w:val="00991581"/>
    <w:rsid w:val="0099200A"/>
    <w:rsid w:val="00992282"/>
    <w:rsid w:val="009924BE"/>
    <w:rsid w:val="00992798"/>
    <w:rsid w:val="00993652"/>
    <w:rsid w:val="00994083"/>
    <w:rsid w:val="00994230"/>
    <w:rsid w:val="00994418"/>
    <w:rsid w:val="00995129"/>
    <w:rsid w:val="00995152"/>
    <w:rsid w:val="009957E7"/>
    <w:rsid w:val="00995884"/>
    <w:rsid w:val="0099621E"/>
    <w:rsid w:val="0099795F"/>
    <w:rsid w:val="00997B26"/>
    <w:rsid w:val="009A02AD"/>
    <w:rsid w:val="009A0AF0"/>
    <w:rsid w:val="009A1C9B"/>
    <w:rsid w:val="009A20FA"/>
    <w:rsid w:val="009A23AA"/>
    <w:rsid w:val="009A34A8"/>
    <w:rsid w:val="009A387D"/>
    <w:rsid w:val="009A3A55"/>
    <w:rsid w:val="009A453A"/>
    <w:rsid w:val="009A4708"/>
    <w:rsid w:val="009A54F2"/>
    <w:rsid w:val="009A56CF"/>
    <w:rsid w:val="009A5CF2"/>
    <w:rsid w:val="009A61B5"/>
    <w:rsid w:val="009A62A5"/>
    <w:rsid w:val="009A62EB"/>
    <w:rsid w:val="009A634F"/>
    <w:rsid w:val="009A6863"/>
    <w:rsid w:val="009A6ADB"/>
    <w:rsid w:val="009A7EA8"/>
    <w:rsid w:val="009B02C4"/>
    <w:rsid w:val="009B03CD"/>
    <w:rsid w:val="009B0B6A"/>
    <w:rsid w:val="009B0EA0"/>
    <w:rsid w:val="009B120D"/>
    <w:rsid w:val="009B1510"/>
    <w:rsid w:val="009B185E"/>
    <w:rsid w:val="009B18BE"/>
    <w:rsid w:val="009B327F"/>
    <w:rsid w:val="009B3AF9"/>
    <w:rsid w:val="009B4546"/>
    <w:rsid w:val="009B4E57"/>
    <w:rsid w:val="009B4F5D"/>
    <w:rsid w:val="009B4FB3"/>
    <w:rsid w:val="009B6598"/>
    <w:rsid w:val="009B706A"/>
    <w:rsid w:val="009B724D"/>
    <w:rsid w:val="009B783C"/>
    <w:rsid w:val="009C06B5"/>
    <w:rsid w:val="009C0ECD"/>
    <w:rsid w:val="009C1093"/>
    <w:rsid w:val="009C1136"/>
    <w:rsid w:val="009C152E"/>
    <w:rsid w:val="009C1931"/>
    <w:rsid w:val="009C1A04"/>
    <w:rsid w:val="009C1C45"/>
    <w:rsid w:val="009C1E77"/>
    <w:rsid w:val="009C21D5"/>
    <w:rsid w:val="009C300D"/>
    <w:rsid w:val="009C30EA"/>
    <w:rsid w:val="009C3F71"/>
    <w:rsid w:val="009C4060"/>
    <w:rsid w:val="009C4BC3"/>
    <w:rsid w:val="009C4D37"/>
    <w:rsid w:val="009C621A"/>
    <w:rsid w:val="009C65DB"/>
    <w:rsid w:val="009C72DA"/>
    <w:rsid w:val="009C748D"/>
    <w:rsid w:val="009C7B79"/>
    <w:rsid w:val="009D0C56"/>
    <w:rsid w:val="009D138C"/>
    <w:rsid w:val="009D1DE0"/>
    <w:rsid w:val="009D35A7"/>
    <w:rsid w:val="009D3A51"/>
    <w:rsid w:val="009D418C"/>
    <w:rsid w:val="009D423F"/>
    <w:rsid w:val="009D4940"/>
    <w:rsid w:val="009D4CE7"/>
    <w:rsid w:val="009D4F54"/>
    <w:rsid w:val="009D6003"/>
    <w:rsid w:val="009D60D4"/>
    <w:rsid w:val="009D61B5"/>
    <w:rsid w:val="009D6895"/>
    <w:rsid w:val="009D7D30"/>
    <w:rsid w:val="009D7EAF"/>
    <w:rsid w:val="009E09EC"/>
    <w:rsid w:val="009E0A8D"/>
    <w:rsid w:val="009E0F54"/>
    <w:rsid w:val="009E106D"/>
    <w:rsid w:val="009E14D2"/>
    <w:rsid w:val="009E218A"/>
    <w:rsid w:val="009E241A"/>
    <w:rsid w:val="009E254A"/>
    <w:rsid w:val="009E257D"/>
    <w:rsid w:val="009E2F31"/>
    <w:rsid w:val="009E3462"/>
    <w:rsid w:val="009E3738"/>
    <w:rsid w:val="009E3913"/>
    <w:rsid w:val="009E3EE5"/>
    <w:rsid w:val="009E4E9B"/>
    <w:rsid w:val="009E56E2"/>
    <w:rsid w:val="009E56FE"/>
    <w:rsid w:val="009E5AE2"/>
    <w:rsid w:val="009E5B64"/>
    <w:rsid w:val="009E5DFD"/>
    <w:rsid w:val="009E5E28"/>
    <w:rsid w:val="009E640A"/>
    <w:rsid w:val="009E680F"/>
    <w:rsid w:val="009E6D31"/>
    <w:rsid w:val="009E6F24"/>
    <w:rsid w:val="009E73BA"/>
    <w:rsid w:val="009E76B5"/>
    <w:rsid w:val="009F12CC"/>
    <w:rsid w:val="009F194F"/>
    <w:rsid w:val="009F220D"/>
    <w:rsid w:val="009F250E"/>
    <w:rsid w:val="009F268E"/>
    <w:rsid w:val="009F2855"/>
    <w:rsid w:val="009F2C8A"/>
    <w:rsid w:val="009F3092"/>
    <w:rsid w:val="009F3878"/>
    <w:rsid w:val="009F4118"/>
    <w:rsid w:val="009F41F5"/>
    <w:rsid w:val="009F49E2"/>
    <w:rsid w:val="009F4B1C"/>
    <w:rsid w:val="009F52D5"/>
    <w:rsid w:val="009F5563"/>
    <w:rsid w:val="009F686E"/>
    <w:rsid w:val="009F686F"/>
    <w:rsid w:val="009F6AA4"/>
    <w:rsid w:val="009F6D80"/>
    <w:rsid w:val="009F7BD7"/>
    <w:rsid w:val="00A000EB"/>
    <w:rsid w:val="00A01389"/>
    <w:rsid w:val="00A025E8"/>
    <w:rsid w:val="00A03D0C"/>
    <w:rsid w:val="00A04AAD"/>
    <w:rsid w:val="00A04EEF"/>
    <w:rsid w:val="00A04F51"/>
    <w:rsid w:val="00A06167"/>
    <w:rsid w:val="00A06C9B"/>
    <w:rsid w:val="00A06F8F"/>
    <w:rsid w:val="00A07528"/>
    <w:rsid w:val="00A075FD"/>
    <w:rsid w:val="00A07BAF"/>
    <w:rsid w:val="00A10F94"/>
    <w:rsid w:val="00A118E0"/>
    <w:rsid w:val="00A12906"/>
    <w:rsid w:val="00A12A5A"/>
    <w:rsid w:val="00A12DFD"/>
    <w:rsid w:val="00A13543"/>
    <w:rsid w:val="00A13F8F"/>
    <w:rsid w:val="00A14470"/>
    <w:rsid w:val="00A15421"/>
    <w:rsid w:val="00A169E5"/>
    <w:rsid w:val="00A16AE0"/>
    <w:rsid w:val="00A16ED5"/>
    <w:rsid w:val="00A20A07"/>
    <w:rsid w:val="00A2188E"/>
    <w:rsid w:val="00A21A62"/>
    <w:rsid w:val="00A21E3C"/>
    <w:rsid w:val="00A223A6"/>
    <w:rsid w:val="00A239B7"/>
    <w:rsid w:val="00A23B7C"/>
    <w:rsid w:val="00A23E8B"/>
    <w:rsid w:val="00A253E7"/>
    <w:rsid w:val="00A25E0E"/>
    <w:rsid w:val="00A269D9"/>
    <w:rsid w:val="00A2734C"/>
    <w:rsid w:val="00A27A74"/>
    <w:rsid w:val="00A309E3"/>
    <w:rsid w:val="00A30AB0"/>
    <w:rsid w:val="00A31FBE"/>
    <w:rsid w:val="00A32B78"/>
    <w:rsid w:val="00A335E6"/>
    <w:rsid w:val="00A33CB1"/>
    <w:rsid w:val="00A34849"/>
    <w:rsid w:val="00A35BA8"/>
    <w:rsid w:val="00A3620E"/>
    <w:rsid w:val="00A36510"/>
    <w:rsid w:val="00A37E7B"/>
    <w:rsid w:val="00A419FB"/>
    <w:rsid w:val="00A41A39"/>
    <w:rsid w:val="00A41CB7"/>
    <w:rsid w:val="00A43726"/>
    <w:rsid w:val="00A43843"/>
    <w:rsid w:val="00A4415D"/>
    <w:rsid w:val="00A44203"/>
    <w:rsid w:val="00A446FE"/>
    <w:rsid w:val="00A44AF1"/>
    <w:rsid w:val="00A45143"/>
    <w:rsid w:val="00A45254"/>
    <w:rsid w:val="00A45A8D"/>
    <w:rsid w:val="00A45FF3"/>
    <w:rsid w:val="00A46474"/>
    <w:rsid w:val="00A46784"/>
    <w:rsid w:val="00A47AC7"/>
    <w:rsid w:val="00A5180A"/>
    <w:rsid w:val="00A523B2"/>
    <w:rsid w:val="00A527EA"/>
    <w:rsid w:val="00A5319F"/>
    <w:rsid w:val="00A5378C"/>
    <w:rsid w:val="00A539B7"/>
    <w:rsid w:val="00A53A1D"/>
    <w:rsid w:val="00A54304"/>
    <w:rsid w:val="00A54CCC"/>
    <w:rsid w:val="00A55CCC"/>
    <w:rsid w:val="00A55DF3"/>
    <w:rsid w:val="00A564DE"/>
    <w:rsid w:val="00A564E3"/>
    <w:rsid w:val="00A56840"/>
    <w:rsid w:val="00A568AA"/>
    <w:rsid w:val="00A568BE"/>
    <w:rsid w:val="00A57873"/>
    <w:rsid w:val="00A600F6"/>
    <w:rsid w:val="00A6049C"/>
    <w:rsid w:val="00A60715"/>
    <w:rsid w:val="00A609B7"/>
    <w:rsid w:val="00A61A31"/>
    <w:rsid w:val="00A61A36"/>
    <w:rsid w:val="00A61D51"/>
    <w:rsid w:val="00A61E82"/>
    <w:rsid w:val="00A62270"/>
    <w:rsid w:val="00A62579"/>
    <w:rsid w:val="00A62A7F"/>
    <w:rsid w:val="00A62DDD"/>
    <w:rsid w:val="00A638C8"/>
    <w:rsid w:val="00A63B8C"/>
    <w:rsid w:val="00A640F1"/>
    <w:rsid w:val="00A64C8C"/>
    <w:rsid w:val="00A64CAD"/>
    <w:rsid w:val="00A65B12"/>
    <w:rsid w:val="00A65F91"/>
    <w:rsid w:val="00A66927"/>
    <w:rsid w:val="00A66CBA"/>
    <w:rsid w:val="00A66E7E"/>
    <w:rsid w:val="00A67DFE"/>
    <w:rsid w:val="00A70468"/>
    <w:rsid w:val="00A70821"/>
    <w:rsid w:val="00A72A25"/>
    <w:rsid w:val="00A732B5"/>
    <w:rsid w:val="00A74871"/>
    <w:rsid w:val="00A753AC"/>
    <w:rsid w:val="00A75A46"/>
    <w:rsid w:val="00A75DF9"/>
    <w:rsid w:val="00A76758"/>
    <w:rsid w:val="00A767F2"/>
    <w:rsid w:val="00A76AD3"/>
    <w:rsid w:val="00A7733D"/>
    <w:rsid w:val="00A77AED"/>
    <w:rsid w:val="00A77CE7"/>
    <w:rsid w:val="00A80A05"/>
    <w:rsid w:val="00A81022"/>
    <w:rsid w:val="00A81AF8"/>
    <w:rsid w:val="00A81DC6"/>
    <w:rsid w:val="00A81FD9"/>
    <w:rsid w:val="00A83401"/>
    <w:rsid w:val="00A83A59"/>
    <w:rsid w:val="00A83AFD"/>
    <w:rsid w:val="00A83DE6"/>
    <w:rsid w:val="00A8439F"/>
    <w:rsid w:val="00A84AF6"/>
    <w:rsid w:val="00A8548C"/>
    <w:rsid w:val="00A8557D"/>
    <w:rsid w:val="00A85A3B"/>
    <w:rsid w:val="00A85B21"/>
    <w:rsid w:val="00A85B76"/>
    <w:rsid w:val="00A860A9"/>
    <w:rsid w:val="00A86E80"/>
    <w:rsid w:val="00A879CE"/>
    <w:rsid w:val="00A905BD"/>
    <w:rsid w:val="00A9102D"/>
    <w:rsid w:val="00A9134F"/>
    <w:rsid w:val="00A91752"/>
    <w:rsid w:val="00A91EC6"/>
    <w:rsid w:val="00A9214C"/>
    <w:rsid w:val="00A922D2"/>
    <w:rsid w:val="00A92304"/>
    <w:rsid w:val="00A92425"/>
    <w:rsid w:val="00A92CF4"/>
    <w:rsid w:val="00A92DD7"/>
    <w:rsid w:val="00A931BB"/>
    <w:rsid w:val="00A9391F"/>
    <w:rsid w:val="00A93B2B"/>
    <w:rsid w:val="00A944F4"/>
    <w:rsid w:val="00A950EE"/>
    <w:rsid w:val="00A95CB0"/>
    <w:rsid w:val="00A95E71"/>
    <w:rsid w:val="00A95F31"/>
    <w:rsid w:val="00A9702D"/>
    <w:rsid w:val="00A97209"/>
    <w:rsid w:val="00A97BC3"/>
    <w:rsid w:val="00AA0E60"/>
    <w:rsid w:val="00AA0EB8"/>
    <w:rsid w:val="00AA1334"/>
    <w:rsid w:val="00AA1FFA"/>
    <w:rsid w:val="00AA2D46"/>
    <w:rsid w:val="00AA3CAC"/>
    <w:rsid w:val="00AA3E01"/>
    <w:rsid w:val="00AA3E48"/>
    <w:rsid w:val="00AA43D3"/>
    <w:rsid w:val="00AA43E8"/>
    <w:rsid w:val="00AA48FE"/>
    <w:rsid w:val="00AA4D14"/>
    <w:rsid w:val="00AA58BE"/>
    <w:rsid w:val="00AA595D"/>
    <w:rsid w:val="00AA5D33"/>
    <w:rsid w:val="00AA5DAC"/>
    <w:rsid w:val="00AA61B8"/>
    <w:rsid w:val="00AA787D"/>
    <w:rsid w:val="00AB04F5"/>
    <w:rsid w:val="00AB0525"/>
    <w:rsid w:val="00AB0C0F"/>
    <w:rsid w:val="00AB1830"/>
    <w:rsid w:val="00AB3660"/>
    <w:rsid w:val="00AB39B6"/>
    <w:rsid w:val="00AB3A01"/>
    <w:rsid w:val="00AB3B95"/>
    <w:rsid w:val="00AB4CE0"/>
    <w:rsid w:val="00AB585E"/>
    <w:rsid w:val="00AB7A9D"/>
    <w:rsid w:val="00AC01AB"/>
    <w:rsid w:val="00AC0316"/>
    <w:rsid w:val="00AC0C20"/>
    <w:rsid w:val="00AC0EC0"/>
    <w:rsid w:val="00AC12C7"/>
    <w:rsid w:val="00AC1751"/>
    <w:rsid w:val="00AC18CC"/>
    <w:rsid w:val="00AC190B"/>
    <w:rsid w:val="00AC22A6"/>
    <w:rsid w:val="00AC3FA0"/>
    <w:rsid w:val="00AC4696"/>
    <w:rsid w:val="00AC6401"/>
    <w:rsid w:val="00AC64F3"/>
    <w:rsid w:val="00AC67CE"/>
    <w:rsid w:val="00AC6A72"/>
    <w:rsid w:val="00AC7563"/>
    <w:rsid w:val="00AC7D46"/>
    <w:rsid w:val="00AC7FF2"/>
    <w:rsid w:val="00AD04D9"/>
    <w:rsid w:val="00AD0FCC"/>
    <w:rsid w:val="00AD248A"/>
    <w:rsid w:val="00AD2B49"/>
    <w:rsid w:val="00AD2D60"/>
    <w:rsid w:val="00AD2F0F"/>
    <w:rsid w:val="00AD4022"/>
    <w:rsid w:val="00AD42EA"/>
    <w:rsid w:val="00AD4B07"/>
    <w:rsid w:val="00AD5ADE"/>
    <w:rsid w:val="00AD6255"/>
    <w:rsid w:val="00AD6866"/>
    <w:rsid w:val="00AD6B08"/>
    <w:rsid w:val="00AE08F5"/>
    <w:rsid w:val="00AE099A"/>
    <w:rsid w:val="00AE1E7D"/>
    <w:rsid w:val="00AE1F10"/>
    <w:rsid w:val="00AE1F1B"/>
    <w:rsid w:val="00AE205B"/>
    <w:rsid w:val="00AE25E9"/>
    <w:rsid w:val="00AE3BE9"/>
    <w:rsid w:val="00AE41DB"/>
    <w:rsid w:val="00AE42D3"/>
    <w:rsid w:val="00AE437A"/>
    <w:rsid w:val="00AE44E5"/>
    <w:rsid w:val="00AE4B64"/>
    <w:rsid w:val="00AE4EE4"/>
    <w:rsid w:val="00AE5122"/>
    <w:rsid w:val="00AE58A5"/>
    <w:rsid w:val="00AE5ED7"/>
    <w:rsid w:val="00AE608A"/>
    <w:rsid w:val="00AE7846"/>
    <w:rsid w:val="00AE79EF"/>
    <w:rsid w:val="00AF02EB"/>
    <w:rsid w:val="00AF058E"/>
    <w:rsid w:val="00AF10B5"/>
    <w:rsid w:val="00AF13D3"/>
    <w:rsid w:val="00AF154D"/>
    <w:rsid w:val="00AF1FE6"/>
    <w:rsid w:val="00AF2499"/>
    <w:rsid w:val="00AF2A4A"/>
    <w:rsid w:val="00AF2E86"/>
    <w:rsid w:val="00AF309C"/>
    <w:rsid w:val="00AF3194"/>
    <w:rsid w:val="00AF36FA"/>
    <w:rsid w:val="00AF383B"/>
    <w:rsid w:val="00AF4450"/>
    <w:rsid w:val="00AF46B1"/>
    <w:rsid w:val="00AF5431"/>
    <w:rsid w:val="00AF55DC"/>
    <w:rsid w:val="00AF5828"/>
    <w:rsid w:val="00AF688E"/>
    <w:rsid w:val="00AF6A6E"/>
    <w:rsid w:val="00AF7735"/>
    <w:rsid w:val="00AF7E95"/>
    <w:rsid w:val="00AF7FC2"/>
    <w:rsid w:val="00B0042F"/>
    <w:rsid w:val="00B007E9"/>
    <w:rsid w:val="00B01011"/>
    <w:rsid w:val="00B0133A"/>
    <w:rsid w:val="00B019F8"/>
    <w:rsid w:val="00B01A65"/>
    <w:rsid w:val="00B0257E"/>
    <w:rsid w:val="00B0362A"/>
    <w:rsid w:val="00B0485E"/>
    <w:rsid w:val="00B04940"/>
    <w:rsid w:val="00B05480"/>
    <w:rsid w:val="00B06B8C"/>
    <w:rsid w:val="00B07BA2"/>
    <w:rsid w:val="00B07D31"/>
    <w:rsid w:val="00B07E9D"/>
    <w:rsid w:val="00B10DA3"/>
    <w:rsid w:val="00B112D9"/>
    <w:rsid w:val="00B1171A"/>
    <w:rsid w:val="00B11982"/>
    <w:rsid w:val="00B11CD2"/>
    <w:rsid w:val="00B11E8D"/>
    <w:rsid w:val="00B12BC4"/>
    <w:rsid w:val="00B13428"/>
    <w:rsid w:val="00B14623"/>
    <w:rsid w:val="00B14ABA"/>
    <w:rsid w:val="00B1509A"/>
    <w:rsid w:val="00B151C7"/>
    <w:rsid w:val="00B157A0"/>
    <w:rsid w:val="00B15B00"/>
    <w:rsid w:val="00B16116"/>
    <w:rsid w:val="00B2071A"/>
    <w:rsid w:val="00B2095C"/>
    <w:rsid w:val="00B22BA5"/>
    <w:rsid w:val="00B23487"/>
    <w:rsid w:val="00B2393B"/>
    <w:rsid w:val="00B23E03"/>
    <w:rsid w:val="00B23F13"/>
    <w:rsid w:val="00B259A8"/>
    <w:rsid w:val="00B266DD"/>
    <w:rsid w:val="00B30943"/>
    <w:rsid w:val="00B323FE"/>
    <w:rsid w:val="00B32916"/>
    <w:rsid w:val="00B32B27"/>
    <w:rsid w:val="00B33373"/>
    <w:rsid w:val="00B33397"/>
    <w:rsid w:val="00B334F4"/>
    <w:rsid w:val="00B33CDB"/>
    <w:rsid w:val="00B34608"/>
    <w:rsid w:val="00B34BC4"/>
    <w:rsid w:val="00B358D5"/>
    <w:rsid w:val="00B35A0B"/>
    <w:rsid w:val="00B36528"/>
    <w:rsid w:val="00B3777B"/>
    <w:rsid w:val="00B37D51"/>
    <w:rsid w:val="00B402F6"/>
    <w:rsid w:val="00B41594"/>
    <w:rsid w:val="00B41728"/>
    <w:rsid w:val="00B4192C"/>
    <w:rsid w:val="00B42563"/>
    <w:rsid w:val="00B42718"/>
    <w:rsid w:val="00B42A37"/>
    <w:rsid w:val="00B4309E"/>
    <w:rsid w:val="00B431FF"/>
    <w:rsid w:val="00B433A4"/>
    <w:rsid w:val="00B43492"/>
    <w:rsid w:val="00B43623"/>
    <w:rsid w:val="00B444D2"/>
    <w:rsid w:val="00B44906"/>
    <w:rsid w:val="00B449A9"/>
    <w:rsid w:val="00B451DF"/>
    <w:rsid w:val="00B45396"/>
    <w:rsid w:val="00B45A75"/>
    <w:rsid w:val="00B45B70"/>
    <w:rsid w:val="00B46906"/>
    <w:rsid w:val="00B46A09"/>
    <w:rsid w:val="00B4712C"/>
    <w:rsid w:val="00B472F6"/>
    <w:rsid w:val="00B474E4"/>
    <w:rsid w:val="00B5008B"/>
    <w:rsid w:val="00B51067"/>
    <w:rsid w:val="00B51D44"/>
    <w:rsid w:val="00B51EA1"/>
    <w:rsid w:val="00B521BF"/>
    <w:rsid w:val="00B52D08"/>
    <w:rsid w:val="00B53299"/>
    <w:rsid w:val="00B53734"/>
    <w:rsid w:val="00B53AB3"/>
    <w:rsid w:val="00B54598"/>
    <w:rsid w:val="00B546BE"/>
    <w:rsid w:val="00B54816"/>
    <w:rsid w:val="00B5524E"/>
    <w:rsid w:val="00B553B3"/>
    <w:rsid w:val="00B55A28"/>
    <w:rsid w:val="00B55CA2"/>
    <w:rsid w:val="00B5622E"/>
    <w:rsid w:val="00B56954"/>
    <w:rsid w:val="00B56A23"/>
    <w:rsid w:val="00B56F09"/>
    <w:rsid w:val="00B571B6"/>
    <w:rsid w:val="00B57D84"/>
    <w:rsid w:val="00B601FF"/>
    <w:rsid w:val="00B60468"/>
    <w:rsid w:val="00B60962"/>
    <w:rsid w:val="00B61988"/>
    <w:rsid w:val="00B630A1"/>
    <w:rsid w:val="00B633AD"/>
    <w:rsid w:val="00B63450"/>
    <w:rsid w:val="00B6388B"/>
    <w:rsid w:val="00B6407B"/>
    <w:rsid w:val="00B6410A"/>
    <w:rsid w:val="00B64A64"/>
    <w:rsid w:val="00B66CEC"/>
    <w:rsid w:val="00B67F57"/>
    <w:rsid w:val="00B703A2"/>
    <w:rsid w:val="00B70620"/>
    <w:rsid w:val="00B70D71"/>
    <w:rsid w:val="00B711C5"/>
    <w:rsid w:val="00B71417"/>
    <w:rsid w:val="00B718B0"/>
    <w:rsid w:val="00B71C9C"/>
    <w:rsid w:val="00B71D78"/>
    <w:rsid w:val="00B721A3"/>
    <w:rsid w:val="00B72AF1"/>
    <w:rsid w:val="00B732BA"/>
    <w:rsid w:val="00B73C8D"/>
    <w:rsid w:val="00B74331"/>
    <w:rsid w:val="00B74524"/>
    <w:rsid w:val="00B74C60"/>
    <w:rsid w:val="00B750C9"/>
    <w:rsid w:val="00B7519E"/>
    <w:rsid w:val="00B76058"/>
    <w:rsid w:val="00B7768E"/>
    <w:rsid w:val="00B80029"/>
    <w:rsid w:val="00B80F94"/>
    <w:rsid w:val="00B812D6"/>
    <w:rsid w:val="00B81423"/>
    <w:rsid w:val="00B814F4"/>
    <w:rsid w:val="00B81FF9"/>
    <w:rsid w:val="00B82A17"/>
    <w:rsid w:val="00B82ABB"/>
    <w:rsid w:val="00B83441"/>
    <w:rsid w:val="00B838FD"/>
    <w:rsid w:val="00B83AA7"/>
    <w:rsid w:val="00B83DC4"/>
    <w:rsid w:val="00B8445A"/>
    <w:rsid w:val="00B85EF8"/>
    <w:rsid w:val="00B866B6"/>
    <w:rsid w:val="00B86CD9"/>
    <w:rsid w:val="00B87558"/>
    <w:rsid w:val="00B876D8"/>
    <w:rsid w:val="00B8780E"/>
    <w:rsid w:val="00B87928"/>
    <w:rsid w:val="00B87D24"/>
    <w:rsid w:val="00B87E66"/>
    <w:rsid w:val="00B9050D"/>
    <w:rsid w:val="00B907C0"/>
    <w:rsid w:val="00B90C00"/>
    <w:rsid w:val="00B91159"/>
    <w:rsid w:val="00B91399"/>
    <w:rsid w:val="00B9158B"/>
    <w:rsid w:val="00B91B6A"/>
    <w:rsid w:val="00B91E3C"/>
    <w:rsid w:val="00B91FE0"/>
    <w:rsid w:val="00B92B13"/>
    <w:rsid w:val="00B92DD0"/>
    <w:rsid w:val="00B9461C"/>
    <w:rsid w:val="00B94F98"/>
    <w:rsid w:val="00B95188"/>
    <w:rsid w:val="00B95636"/>
    <w:rsid w:val="00B96632"/>
    <w:rsid w:val="00B96697"/>
    <w:rsid w:val="00B966C4"/>
    <w:rsid w:val="00B96A9F"/>
    <w:rsid w:val="00B96BCC"/>
    <w:rsid w:val="00B97308"/>
    <w:rsid w:val="00BA009E"/>
    <w:rsid w:val="00BA07EA"/>
    <w:rsid w:val="00BA2772"/>
    <w:rsid w:val="00BA2E85"/>
    <w:rsid w:val="00BA3077"/>
    <w:rsid w:val="00BA3289"/>
    <w:rsid w:val="00BA33EB"/>
    <w:rsid w:val="00BA3422"/>
    <w:rsid w:val="00BA4872"/>
    <w:rsid w:val="00BA5A1B"/>
    <w:rsid w:val="00BA5B8A"/>
    <w:rsid w:val="00BA5BE0"/>
    <w:rsid w:val="00BA5C6B"/>
    <w:rsid w:val="00BA60C5"/>
    <w:rsid w:val="00BA6875"/>
    <w:rsid w:val="00BA6CA9"/>
    <w:rsid w:val="00BA775D"/>
    <w:rsid w:val="00BA777C"/>
    <w:rsid w:val="00BA7D1E"/>
    <w:rsid w:val="00BB0AEF"/>
    <w:rsid w:val="00BB0CA0"/>
    <w:rsid w:val="00BB0F0A"/>
    <w:rsid w:val="00BB1566"/>
    <w:rsid w:val="00BB1DAB"/>
    <w:rsid w:val="00BB23F1"/>
    <w:rsid w:val="00BB2626"/>
    <w:rsid w:val="00BB384A"/>
    <w:rsid w:val="00BB411E"/>
    <w:rsid w:val="00BB471A"/>
    <w:rsid w:val="00BB4B04"/>
    <w:rsid w:val="00BB51CC"/>
    <w:rsid w:val="00BB5F49"/>
    <w:rsid w:val="00BB6229"/>
    <w:rsid w:val="00BB65A0"/>
    <w:rsid w:val="00BB6BB3"/>
    <w:rsid w:val="00BB6D39"/>
    <w:rsid w:val="00BB71D1"/>
    <w:rsid w:val="00BB7A58"/>
    <w:rsid w:val="00BC099E"/>
    <w:rsid w:val="00BC0C25"/>
    <w:rsid w:val="00BC1100"/>
    <w:rsid w:val="00BC1787"/>
    <w:rsid w:val="00BC1BA0"/>
    <w:rsid w:val="00BC1CAC"/>
    <w:rsid w:val="00BC1E4D"/>
    <w:rsid w:val="00BC2E25"/>
    <w:rsid w:val="00BC3361"/>
    <w:rsid w:val="00BC3ABB"/>
    <w:rsid w:val="00BC4263"/>
    <w:rsid w:val="00BC4CFF"/>
    <w:rsid w:val="00BC4D6A"/>
    <w:rsid w:val="00BC4F08"/>
    <w:rsid w:val="00BC568D"/>
    <w:rsid w:val="00BC5AD5"/>
    <w:rsid w:val="00BC61D6"/>
    <w:rsid w:val="00BC6892"/>
    <w:rsid w:val="00BC72BA"/>
    <w:rsid w:val="00BD0A17"/>
    <w:rsid w:val="00BD1010"/>
    <w:rsid w:val="00BD24A0"/>
    <w:rsid w:val="00BD4A60"/>
    <w:rsid w:val="00BD4F72"/>
    <w:rsid w:val="00BD6379"/>
    <w:rsid w:val="00BD7F8B"/>
    <w:rsid w:val="00BD7FD0"/>
    <w:rsid w:val="00BE04D5"/>
    <w:rsid w:val="00BE0584"/>
    <w:rsid w:val="00BE0C81"/>
    <w:rsid w:val="00BE1183"/>
    <w:rsid w:val="00BE1228"/>
    <w:rsid w:val="00BE23C3"/>
    <w:rsid w:val="00BE2672"/>
    <w:rsid w:val="00BE44AB"/>
    <w:rsid w:val="00BE52CD"/>
    <w:rsid w:val="00BE5E19"/>
    <w:rsid w:val="00BE619A"/>
    <w:rsid w:val="00BE6591"/>
    <w:rsid w:val="00BE7FA4"/>
    <w:rsid w:val="00BF02B9"/>
    <w:rsid w:val="00BF195F"/>
    <w:rsid w:val="00BF206B"/>
    <w:rsid w:val="00BF2072"/>
    <w:rsid w:val="00BF256A"/>
    <w:rsid w:val="00BF276B"/>
    <w:rsid w:val="00BF28FF"/>
    <w:rsid w:val="00BF30B7"/>
    <w:rsid w:val="00BF352A"/>
    <w:rsid w:val="00BF3E60"/>
    <w:rsid w:val="00BF6EE5"/>
    <w:rsid w:val="00BF71D4"/>
    <w:rsid w:val="00C000B3"/>
    <w:rsid w:val="00C00BC1"/>
    <w:rsid w:val="00C023B5"/>
    <w:rsid w:val="00C03B47"/>
    <w:rsid w:val="00C03F8B"/>
    <w:rsid w:val="00C04956"/>
    <w:rsid w:val="00C05080"/>
    <w:rsid w:val="00C0515C"/>
    <w:rsid w:val="00C06046"/>
    <w:rsid w:val="00C07028"/>
    <w:rsid w:val="00C07C94"/>
    <w:rsid w:val="00C07D05"/>
    <w:rsid w:val="00C111F9"/>
    <w:rsid w:val="00C11BBF"/>
    <w:rsid w:val="00C120BF"/>
    <w:rsid w:val="00C126DF"/>
    <w:rsid w:val="00C13A6A"/>
    <w:rsid w:val="00C13E08"/>
    <w:rsid w:val="00C14783"/>
    <w:rsid w:val="00C14D36"/>
    <w:rsid w:val="00C151A8"/>
    <w:rsid w:val="00C15254"/>
    <w:rsid w:val="00C158CC"/>
    <w:rsid w:val="00C15CB5"/>
    <w:rsid w:val="00C15CC3"/>
    <w:rsid w:val="00C15D64"/>
    <w:rsid w:val="00C16537"/>
    <w:rsid w:val="00C16B61"/>
    <w:rsid w:val="00C170CA"/>
    <w:rsid w:val="00C1763C"/>
    <w:rsid w:val="00C17751"/>
    <w:rsid w:val="00C177DB"/>
    <w:rsid w:val="00C20F2D"/>
    <w:rsid w:val="00C213E7"/>
    <w:rsid w:val="00C21928"/>
    <w:rsid w:val="00C221CC"/>
    <w:rsid w:val="00C22707"/>
    <w:rsid w:val="00C2283A"/>
    <w:rsid w:val="00C22A05"/>
    <w:rsid w:val="00C22CF4"/>
    <w:rsid w:val="00C22EB7"/>
    <w:rsid w:val="00C23669"/>
    <w:rsid w:val="00C23DA1"/>
    <w:rsid w:val="00C2423D"/>
    <w:rsid w:val="00C25201"/>
    <w:rsid w:val="00C25633"/>
    <w:rsid w:val="00C25FB1"/>
    <w:rsid w:val="00C2604C"/>
    <w:rsid w:val="00C27209"/>
    <w:rsid w:val="00C3009D"/>
    <w:rsid w:val="00C3128B"/>
    <w:rsid w:val="00C317B7"/>
    <w:rsid w:val="00C31AE5"/>
    <w:rsid w:val="00C31E30"/>
    <w:rsid w:val="00C32BD6"/>
    <w:rsid w:val="00C32CCD"/>
    <w:rsid w:val="00C32DDD"/>
    <w:rsid w:val="00C33291"/>
    <w:rsid w:val="00C33380"/>
    <w:rsid w:val="00C334B1"/>
    <w:rsid w:val="00C33FC8"/>
    <w:rsid w:val="00C34FDB"/>
    <w:rsid w:val="00C3553A"/>
    <w:rsid w:val="00C3592F"/>
    <w:rsid w:val="00C36C45"/>
    <w:rsid w:val="00C37913"/>
    <w:rsid w:val="00C37E94"/>
    <w:rsid w:val="00C40237"/>
    <w:rsid w:val="00C407EF"/>
    <w:rsid w:val="00C40A00"/>
    <w:rsid w:val="00C40B16"/>
    <w:rsid w:val="00C40B78"/>
    <w:rsid w:val="00C40D76"/>
    <w:rsid w:val="00C41070"/>
    <w:rsid w:val="00C416EC"/>
    <w:rsid w:val="00C4523D"/>
    <w:rsid w:val="00C45F9D"/>
    <w:rsid w:val="00C461D4"/>
    <w:rsid w:val="00C463DB"/>
    <w:rsid w:val="00C46C1B"/>
    <w:rsid w:val="00C47377"/>
    <w:rsid w:val="00C47488"/>
    <w:rsid w:val="00C476BA"/>
    <w:rsid w:val="00C50294"/>
    <w:rsid w:val="00C5113A"/>
    <w:rsid w:val="00C5190F"/>
    <w:rsid w:val="00C52C0B"/>
    <w:rsid w:val="00C52D6F"/>
    <w:rsid w:val="00C53217"/>
    <w:rsid w:val="00C537CA"/>
    <w:rsid w:val="00C53914"/>
    <w:rsid w:val="00C53AE7"/>
    <w:rsid w:val="00C55A94"/>
    <w:rsid w:val="00C55CB0"/>
    <w:rsid w:val="00C55D99"/>
    <w:rsid w:val="00C55E15"/>
    <w:rsid w:val="00C56A24"/>
    <w:rsid w:val="00C56ADC"/>
    <w:rsid w:val="00C56FF1"/>
    <w:rsid w:val="00C57EB0"/>
    <w:rsid w:val="00C57F61"/>
    <w:rsid w:val="00C600F7"/>
    <w:rsid w:val="00C6023F"/>
    <w:rsid w:val="00C608CD"/>
    <w:rsid w:val="00C60C8F"/>
    <w:rsid w:val="00C60D2E"/>
    <w:rsid w:val="00C610CD"/>
    <w:rsid w:val="00C61AF6"/>
    <w:rsid w:val="00C61CC9"/>
    <w:rsid w:val="00C62946"/>
    <w:rsid w:val="00C6294E"/>
    <w:rsid w:val="00C633FB"/>
    <w:rsid w:val="00C6458F"/>
    <w:rsid w:val="00C64BF7"/>
    <w:rsid w:val="00C667CF"/>
    <w:rsid w:val="00C704D9"/>
    <w:rsid w:val="00C72605"/>
    <w:rsid w:val="00C73792"/>
    <w:rsid w:val="00C73906"/>
    <w:rsid w:val="00C73F3D"/>
    <w:rsid w:val="00C745FA"/>
    <w:rsid w:val="00C748CA"/>
    <w:rsid w:val="00C755AC"/>
    <w:rsid w:val="00C757BC"/>
    <w:rsid w:val="00C75831"/>
    <w:rsid w:val="00C76A39"/>
    <w:rsid w:val="00C772DB"/>
    <w:rsid w:val="00C80640"/>
    <w:rsid w:val="00C81499"/>
    <w:rsid w:val="00C818B0"/>
    <w:rsid w:val="00C81930"/>
    <w:rsid w:val="00C81AA8"/>
    <w:rsid w:val="00C81D98"/>
    <w:rsid w:val="00C840E3"/>
    <w:rsid w:val="00C84687"/>
    <w:rsid w:val="00C846E6"/>
    <w:rsid w:val="00C90745"/>
    <w:rsid w:val="00C91241"/>
    <w:rsid w:val="00C9182D"/>
    <w:rsid w:val="00C91D98"/>
    <w:rsid w:val="00C93B8A"/>
    <w:rsid w:val="00C93DC9"/>
    <w:rsid w:val="00C9439C"/>
    <w:rsid w:val="00C953E9"/>
    <w:rsid w:val="00C95457"/>
    <w:rsid w:val="00C957C1"/>
    <w:rsid w:val="00C958CB"/>
    <w:rsid w:val="00C96484"/>
    <w:rsid w:val="00C96BBE"/>
    <w:rsid w:val="00C97060"/>
    <w:rsid w:val="00C97961"/>
    <w:rsid w:val="00CA041C"/>
    <w:rsid w:val="00CA0FC8"/>
    <w:rsid w:val="00CA120B"/>
    <w:rsid w:val="00CA28A0"/>
    <w:rsid w:val="00CA430C"/>
    <w:rsid w:val="00CA4C8B"/>
    <w:rsid w:val="00CA5494"/>
    <w:rsid w:val="00CA5D97"/>
    <w:rsid w:val="00CA6890"/>
    <w:rsid w:val="00CA7AE0"/>
    <w:rsid w:val="00CB0160"/>
    <w:rsid w:val="00CB1441"/>
    <w:rsid w:val="00CB1746"/>
    <w:rsid w:val="00CB2A1A"/>
    <w:rsid w:val="00CB372F"/>
    <w:rsid w:val="00CB37C3"/>
    <w:rsid w:val="00CB3A4F"/>
    <w:rsid w:val="00CB521A"/>
    <w:rsid w:val="00CB556A"/>
    <w:rsid w:val="00CB7CC1"/>
    <w:rsid w:val="00CB7FB4"/>
    <w:rsid w:val="00CC1147"/>
    <w:rsid w:val="00CC14E3"/>
    <w:rsid w:val="00CC1BE7"/>
    <w:rsid w:val="00CC29E7"/>
    <w:rsid w:val="00CC2E61"/>
    <w:rsid w:val="00CC3233"/>
    <w:rsid w:val="00CC3BED"/>
    <w:rsid w:val="00CC3DAA"/>
    <w:rsid w:val="00CC4BC4"/>
    <w:rsid w:val="00CC5495"/>
    <w:rsid w:val="00CC5729"/>
    <w:rsid w:val="00CC5930"/>
    <w:rsid w:val="00CC5A79"/>
    <w:rsid w:val="00CC6196"/>
    <w:rsid w:val="00CC6218"/>
    <w:rsid w:val="00CC6ABF"/>
    <w:rsid w:val="00CC6CE5"/>
    <w:rsid w:val="00CC78E3"/>
    <w:rsid w:val="00CC7A92"/>
    <w:rsid w:val="00CD01D3"/>
    <w:rsid w:val="00CD026D"/>
    <w:rsid w:val="00CD0386"/>
    <w:rsid w:val="00CD0945"/>
    <w:rsid w:val="00CD1323"/>
    <w:rsid w:val="00CD2BE6"/>
    <w:rsid w:val="00CD2D55"/>
    <w:rsid w:val="00CD2F30"/>
    <w:rsid w:val="00CD33EB"/>
    <w:rsid w:val="00CD355B"/>
    <w:rsid w:val="00CD3C18"/>
    <w:rsid w:val="00CD3EC8"/>
    <w:rsid w:val="00CD415D"/>
    <w:rsid w:val="00CD476C"/>
    <w:rsid w:val="00CD48DC"/>
    <w:rsid w:val="00CD5675"/>
    <w:rsid w:val="00CD567B"/>
    <w:rsid w:val="00CD579D"/>
    <w:rsid w:val="00CD5AB9"/>
    <w:rsid w:val="00CD644C"/>
    <w:rsid w:val="00CD64FA"/>
    <w:rsid w:val="00CD7240"/>
    <w:rsid w:val="00CD7473"/>
    <w:rsid w:val="00CD7644"/>
    <w:rsid w:val="00CE00A6"/>
    <w:rsid w:val="00CE0407"/>
    <w:rsid w:val="00CE0581"/>
    <w:rsid w:val="00CE06E8"/>
    <w:rsid w:val="00CE0A64"/>
    <w:rsid w:val="00CE1C61"/>
    <w:rsid w:val="00CE1ED0"/>
    <w:rsid w:val="00CE20FF"/>
    <w:rsid w:val="00CE267B"/>
    <w:rsid w:val="00CE2DBE"/>
    <w:rsid w:val="00CE32ED"/>
    <w:rsid w:val="00CE4F7A"/>
    <w:rsid w:val="00CE5421"/>
    <w:rsid w:val="00CE6822"/>
    <w:rsid w:val="00CF10FE"/>
    <w:rsid w:val="00CF120B"/>
    <w:rsid w:val="00CF12C7"/>
    <w:rsid w:val="00CF1796"/>
    <w:rsid w:val="00CF1C41"/>
    <w:rsid w:val="00CF28BE"/>
    <w:rsid w:val="00CF2938"/>
    <w:rsid w:val="00CF2C09"/>
    <w:rsid w:val="00CF2D9B"/>
    <w:rsid w:val="00CF3D0F"/>
    <w:rsid w:val="00CF49F1"/>
    <w:rsid w:val="00CF4A78"/>
    <w:rsid w:val="00CF5107"/>
    <w:rsid w:val="00CF5A2E"/>
    <w:rsid w:val="00CF5FE5"/>
    <w:rsid w:val="00CF61AC"/>
    <w:rsid w:val="00CF678F"/>
    <w:rsid w:val="00CF7F16"/>
    <w:rsid w:val="00D000AB"/>
    <w:rsid w:val="00D00231"/>
    <w:rsid w:val="00D00818"/>
    <w:rsid w:val="00D00872"/>
    <w:rsid w:val="00D00E7D"/>
    <w:rsid w:val="00D02793"/>
    <w:rsid w:val="00D02C63"/>
    <w:rsid w:val="00D02EA4"/>
    <w:rsid w:val="00D0332C"/>
    <w:rsid w:val="00D03660"/>
    <w:rsid w:val="00D0384C"/>
    <w:rsid w:val="00D0433D"/>
    <w:rsid w:val="00D04C47"/>
    <w:rsid w:val="00D04D65"/>
    <w:rsid w:val="00D04EC2"/>
    <w:rsid w:val="00D05096"/>
    <w:rsid w:val="00D077FD"/>
    <w:rsid w:val="00D0797B"/>
    <w:rsid w:val="00D11567"/>
    <w:rsid w:val="00D12A1D"/>
    <w:rsid w:val="00D12D54"/>
    <w:rsid w:val="00D12DB5"/>
    <w:rsid w:val="00D12F57"/>
    <w:rsid w:val="00D13EA2"/>
    <w:rsid w:val="00D14B44"/>
    <w:rsid w:val="00D1588A"/>
    <w:rsid w:val="00D1601D"/>
    <w:rsid w:val="00D168C3"/>
    <w:rsid w:val="00D17220"/>
    <w:rsid w:val="00D174CC"/>
    <w:rsid w:val="00D17726"/>
    <w:rsid w:val="00D17AF1"/>
    <w:rsid w:val="00D208A2"/>
    <w:rsid w:val="00D2104E"/>
    <w:rsid w:val="00D21301"/>
    <w:rsid w:val="00D22065"/>
    <w:rsid w:val="00D22314"/>
    <w:rsid w:val="00D22891"/>
    <w:rsid w:val="00D23924"/>
    <w:rsid w:val="00D23C1A"/>
    <w:rsid w:val="00D23D18"/>
    <w:rsid w:val="00D24526"/>
    <w:rsid w:val="00D24A9C"/>
    <w:rsid w:val="00D2552A"/>
    <w:rsid w:val="00D263D0"/>
    <w:rsid w:val="00D267DA"/>
    <w:rsid w:val="00D277D6"/>
    <w:rsid w:val="00D279B8"/>
    <w:rsid w:val="00D30489"/>
    <w:rsid w:val="00D304DA"/>
    <w:rsid w:val="00D3101D"/>
    <w:rsid w:val="00D310A4"/>
    <w:rsid w:val="00D31474"/>
    <w:rsid w:val="00D31CBC"/>
    <w:rsid w:val="00D31F81"/>
    <w:rsid w:val="00D32EF3"/>
    <w:rsid w:val="00D32F0B"/>
    <w:rsid w:val="00D3315D"/>
    <w:rsid w:val="00D3496B"/>
    <w:rsid w:val="00D350C6"/>
    <w:rsid w:val="00D353DC"/>
    <w:rsid w:val="00D355CE"/>
    <w:rsid w:val="00D356D0"/>
    <w:rsid w:val="00D35BB8"/>
    <w:rsid w:val="00D365CE"/>
    <w:rsid w:val="00D36D08"/>
    <w:rsid w:val="00D37878"/>
    <w:rsid w:val="00D40A6B"/>
    <w:rsid w:val="00D4155C"/>
    <w:rsid w:val="00D423F5"/>
    <w:rsid w:val="00D42CC7"/>
    <w:rsid w:val="00D43E9A"/>
    <w:rsid w:val="00D44426"/>
    <w:rsid w:val="00D451B2"/>
    <w:rsid w:val="00D452F2"/>
    <w:rsid w:val="00D45562"/>
    <w:rsid w:val="00D47374"/>
    <w:rsid w:val="00D47AAD"/>
    <w:rsid w:val="00D47DA2"/>
    <w:rsid w:val="00D50A4B"/>
    <w:rsid w:val="00D50D9A"/>
    <w:rsid w:val="00D51EEC"/>
    <w:rsid w:val="00D52653"/>
    <w:rsid w:val="00D5349C"/>
    <w:rsid w:val="00D54827"/>
    <w:rsid w:val="00D54955"/>
    <w:rsid w:val="00D54EBB"/>
    <w:rsid w:val="00D54F65"/>
    <w:rsid w:val="00D55B58"/>
    <w:rsid w:val="00D560B6"/>
    <w:rsid w:val="00D56BC0"/>
    <w:rsid w:val="00D57E22"/>
    <w:rsid w:val="00D600F8"/>
    <w:rsid w:val="00D60235"/>
    <w:rsid w:val="00D60EE9"/>
    <w:rsid w:val="00D625CA"/>
    <w:rsid w:val="00D62DC0"/>
    <w:rsid w:val="00D62E3B"/>
    <w:rsid w:val="00D631D6"/>
    <w:rsid w:val="00D652AD"/>
    <w:rsid w:val="00D65D11"/>
    <w:rsid w:val="00D66951"/>
    <w:rsid w:val="00D67001"/>
    <w:rsid w:val="00D67935"/>
    <w:rsid w:val="00D67DB5"/>
    <w:rsid w:val="00D70431"/>
    <w:rsid w:val="00D70515"/>
    <w:rsid w:val="00D7060C"/>
    <w:rsid w:val="00D70BC6"/>
    <w:rsid w:val="00D71B90"/>
    <w:rsid w:val="00D720FB"/>
    <w:rsid w:val="00D7219E"/>
    <w:rsid w:val="00D73123"/>
    <w:rsid w:val="00D7321A"/>
    <w:rsid w:val="00D73737"/>
    <w:rsid w:val="00D7427F"/>
    <w:rsid w:val="00D74A17"/>
    <w:rsid w:val="00D74C20"/>
    <w:rsid w:val="00D74DD5"/>
    <w:rsid w:val="00D74F27"/>
    <w:rsid w:val="00D75CB2"/>
    <w:rsid w:val="00D765C7"/>
    <w:rsid w:val="00D765F7"/>
    <w:rsid w:val="00D7665E"/>
    <w:rsid w:val="00D76763"/>
    <w:rsid w:val="00D76C58"/>
    <w:rsid w:val="00D77062"/>
    <w:rsid w:val="00D80949"/>
    <w:rsid w:val="00D8111F"/>
    <w:rsid w:val="00D81323"/>
    <w:rsid w:val="00D81780"/>
    <w:rsid w:val="00D81D92"/>
    <w:rsid w:val="00D8212A"/>
    <w:rsid w:val="00D8218E"/>
    <w:rsid w:val="00D823CD"/>
    <w:rsid w:val="00D832F1"/>
    <w:rsid w:val="00D84100"/>
    <w:rsid w:val="00D842B7"/>
    <w:rsid w:val="00D84882"/>
    <w:rsid w:val="00D85D80"/>
    <w:rsid w:val="00D86CF8"/>
    <w:rsid w:val="00D86E5F"/>
    <w:rsid w:val="00D87187"/>
    <w:rsid w:val="00D87B50"/>
    <w:rsid w:val="00D87F9E"/>
    <w:rsid w:val="00D90469"/>
    <w:rsid w:val="00D9056F"/>
    <w:rsid w:val="00D90ED9"/>
    <w:rsid w:val="00D91AC1"/>
    <w:rsid w:val="00D91BDC"/>
    <w:rsid w:val="00D92062"/>
    <w:rsid w:val="00D92387"/>
    <w:rsid w:val="00D9276B"/>
    <w:rsid w:val="00D93421"/>
    <w:rsid w:val="00D935A5"/>
    <w:rsid w:val="00D93C8D"/>
    <w:rsid w:val="00D941D1"/>
    <w:rsid w:val="00D941D2"/>
    <w:rsid w:val="00D9541C"/>
    <w:rsid w:val="00D95F1A"/>
    <w:rsid w:val="00D96352"/>
    <w:rsid w:val="00D96920"/>
    <w:rsid w:val="00D96A8A"/>
    <w:rsid w:val="00D96DFA"/>
    <w:rsid w:val="00D97824"/>
    <w:rsid w:val="00DA0593"/>
    <w:rsid w:val="00DA16D4"/>
    <w:rsid w:val="00DA171E"/>
    <w:rsid w:val="00DA1962"/>
    <w:rsid w:val="00DA1A70"/>
    <w:rsid w:val="00DA1E0A"/>
    <w:rsid w:val="00DA22F1"/>
    <w:rsid w:val="00DA24FF"/>
    <w:rsid w:val="00DA25F5"/>
    <w:rsid w:val="00DA3B84"/>
    <w:rsid w:val="00DA42B0"/>
    <w:rsid w:val="00DA43B6"/>
    <w:rsid w:val="00DA58EF"/>
    <w:rsid w:val="00DA59D7"/>
    <w:rsid w:val="00DA5E7F"/>
    <w:rsid w:val="00DA6106"/>
    <w:rsid w:val="00DA7E1F"/>
    <w:rsid w:val="00DB11C0"/>
    <w:rsid w:val="00DB1528"/>
    <w:rsid w:val="00DB1605"/>
    <w:rsid w:val="00DB1BF4"/>
    <w:rsid w:val="00DB20C5"/>
    <w:rsid w:val="00DB2136"/>
    <w:rsid w:val="00DB2343"/>
    <w:rsid w:val="00DB310F"/>
    <w:rsid w:val="00DB56BF"/>
    <w:rsid w:val="00DB5731"/>
    <w:rsid w:val="00DB5AD7"/>
    <w:rsid w:val="00DB61CA"/>
    <w:rsid w:val="00DB696C"/>
    <w:rsid w:val="00DB703C"/>
    <w:rsid w:val="00DB75A6"/>
    <w:rsid w:val="00DB7A95"/>
    <w:rsid w:val="00DB7FDD"/>
    <w:rsid w:val="00DC1252"/>
    <w:rsid w:val="00DC16BD"/>
    <w:rsid w:val="00DC1712"/>
    <w:rsid w:val="00DC1B0A"/>
    <w:rsid w:val="00DC1ED6"/>
    <w:rsid w:val="00DC251D"/>
    <w:rsid w:val="00DC29A2"/>
    <w:rsid w:val="00DC3622"/>
    <w:rsid w:val="00DC3A60"/>
    <w:rsid w:val="00DC3A84"/>
    <w:rsid w:val="00DC4076"/>
    <w:rsid w:val="00DC445D"/>
    <w:rsid w:val="00DC4F47"/>
    <w:rsid w:val="00DC5683"/>
    <w:rsid w:val="00DC6D00"/>
    <w:rsid w:val="00DC6E12"/>
    <w:rsid w:val="00DC6F2E"/>
    <w:rsid w:val="00DC6F52"/>
    <w:rsid w:val="00DC72E6"/>
    <w:rsid w:val="00DD03E6"/>
    <w:rsid w:val="00DD0E46"/>
    <w:rsid w:val="00DD0F30"/>
    <w:rsid w:val="00DD105B"/>
    <w:rsid w:val="00DD115C"/>
    <w:rsid w:val="00DD1441"/>
    <w:rsid w:val="00DD15D1"/>
    <w:rsid w:val="00DD31F9"/>
    <w:rsid w:val="00DD3BEB"/>
    <w:rsid w:val="00DD3F2C"/>
    <w:rsid w:val="00DD46CC"/>
    <w:rsid w:val="00DD47BD"/>
    <w:rsid w:val="00DD4BCD"/>
    <w:rsid w:val="00DD4D7F"/>
    <w:rsid w:val="00DD4DE0"/>
    <w:rsid w:val="00DD4DEB"/>
    <w:rsid w:val="00DD521F"/>
    <w:rsid w:val="00DD66B5"/>
    <w:rsid w:val="00DD6D6F"/>
    <w:rsid w:val="00DD71F1"/>
    <w:rsid w:val="00DD759C"/>
    <w:rsid w:val="00DD7D01"/>
    <w:rsid w:val="00DE0F7B"/>
    <w:rsid w:val="00DE1078"/>
    <w:rsid w:val="00DE127B"/>
    <w:rsid w:val="00DE1B46"/>
    <w:rsid w:val="00DE1C97"/>
    <w:rsid w:val="00DE3401"/>
    <w:rsid w:val="00DE37B5"/>
    <w:rsid w:val="00DE396F"/>
    <w:rsid w:val="00DE3FC9"/>
    <w:rsid w:val="00DE3FEE"/>
    <w:rsid w:val="00DE4C27"/>
    <w:rsid w:val="00DE577F"/>
    <w:rsid w:val="00DE5784"/>
    <w:rsid w:val="00DE5AAC"/>
    <w:rsid w:val="00DE7840"/>
    <w:rsid w:val="00DF0160"/>
    <w:rsid w:val="00DF0C55"/>
    <w:rsid w:val="00DF0E74"/>
    <w:rsid w:val="00DF14C5"/>
    <w:rsid w:val="00DF1A90"/>
    <w:rsid w:val="00DF3502"/>
    <w:rsid w:val="00DF3F0A"/>
    <w:rsid w:val="00DF4536"/>
    <w:rsid w:val="00DF47FE"/>
    <w:rsid w:val="00DF481E"/>
    <w:rsid w:val="00DF4B59"/>
    <w:rsid w:val="00DF4CE1"/>
    <w:rsid w:val="00DF524F"/>
    <w:rsid w:val="00DF5F81"/>
    <w:rsid w:val="00DF6774"/>
    <w:rsid w:val="00DF7D31"/>
    <w:rsid w:val="00E00027"/>
    <w:rsid w:val="00E003C2"/>
    <w:rsid w:val="00E01704"/>
    <w:rsid w:val="00E01C03"/>
    <w:rsid w:val="00E0264B"/>
    <w:rsid w:val="00E031A2"/>
    <w:rsid w:val="00E036B1"/>
    <w:rsid w:val="00E03E1F"/>
    <w:rsid w:val="00E0404A"/>
    <w:rsid w:val="00E043A4"/>
    <w:rsid w:val="00E04624"/>
    <w:rsid w:val="00E050EE"/>
    <w:rsid w:val="00E06466"/>
    <w:rsid w:val="00E069E1"/>
    <w:rsid w:val="00E07531"/>
    <w:rsid w:val="00E07B66"/>
    <w:rsid w:val="00E10087"/>
    <w:rsid w:val="00E102DD"/>
    <w:rsid w:val="00E10AEC"/>
    <w:rsid w:val="00E11F5C"/>
    <w:rsid w:val="00E12378"/>
    <w:rsid w:val="00E1265A"/>
    <w:rsid w:val="00E126A1"/>
    <w:rsid w:val="00E13293"/>
    <w:rsid w:val="00E13607"/>
    <w:rsid w:val="00E1427A"/>
    <w:rsid w:val="00E147D4"/>
    <w:rsid w:val="00E14AAC"/>
    <w:rsid w:val="00E1514F"/>
    <w:rsid w:val="00E15C9C"/>
    <w:rsid w:val="00E163A1"/>
    <w:rsid w:val="00E1696B"/>
    <w:rsid w:val="00E17749"/>
    <w:rsid w:val="00E179C3"/>
    <w:rsid w:val="00E17D9F"/>
    <w:rsid w:val="00E17E75"/>
    <w:rsid w:val="00E20609"/>
    <w:rsid w:val="00E2121A"/>
    <w:rsid w:val="00E212BA"/>
    <w:rsid w:val="00E218D5"/>
    <w:rsid w:val="00E23C05"/>
    <w:rsid w:val="00E23E10"/>
    <w:rsid w:val="00E2460F"/>
    <w:rsid w:val="00E24A71"/>
    <w:rsid w:val="00E24E6E"/>
    <w:rsid w:val="00E2503F"/>
    <w:rsid w:val="00E25E36"/>
    <w:rsid w:val="00E27ACB"/>
    <w:rsid w:val="00E27BF5"/>
    <w:rsid w:val="00E27F4E"/>
    <w:rsid w:val="00E31022"/>
    <w:rsid w:val="00E31234"/>
    <w:rsid w:val="00E31C05"/>
    <w:rsid w:val="00E31C88"/>
    <w:rsid w:val="00E32A64"/>
    <w:rsid w:val="00E32E3C"/>
    <w:rsid w:val="00E33313"/>
    <w:rsid w:val="00E33992"/>
    <w:rsid w:val="00E34785"/>
    <w:rsid w:val="00E34795"/>
    <w:rsid w:val="00E34C5F"/>
    <w:rsid w:val="00E34C92"/>
    <w:rsid w:val="00E356BE"/>
    <w:rsid w:val="00E361AF"/>
    <w:rsid w:val="00E364A5"/>
    <w:rsid w:val="00E36683"/>
    <w:rsid w:val="00E36802"/>
    <w:rsid w:val="00E36AAC"/>
    <w:rsid w:val="00E37A7F"/>
    <w:rsid w:val="00E37C42"/>
    <w:rsid w:val="00E402C5"/>
    <w:rsid w:val="00E40908"/>
    <w:rsid w:val="00E4100F"/>
    <w:rsid w:val="00E41FEE"/>
    <w:rsid w:val="00E42404"/>
    <w:rsid w:val="00E427CC"/>
    <w:rsid w:val="00E42B44"/>
    <w:rsid w:val="00E4342B"/>
    <w:rsid w:val="00E440FF"/>
    <w:rsid w:val="00E44573"/>
    <w:rsid w:val="00E44B59"/>
    <w:rsid w:val="00E44C2E"/>
    <w:rsid w:val="00E4527B"/>
    <w:rsid w:val="00E45AB8"/>
    <w:rsid w:val="00E45E7D"/>
    <w:rsid w:val="00E4669F"/>
    <w:rsid w:val="00E46FCD"/>
    <w:rsid w:val="00E47B48"/>
    <w:rsid w:val="00E5085A"/>
    <w:rsid w:val="00E50CE3"/>
    <w:rsid w:val="00E51020"/>
    <w:rsid w:val="00E51C4B"/>
    <w:rsid w:val="00E52478"/>
    <w:rsid w:val="00E53C8F"/>
    <w:rsid w:val="00E53F30"/>
    <w:rsid w:val="00E5403C"/>
    <w:rsid w:val="00E54772"/>
    <w:rsid w:val="00E54907"/>
    <w:rsid w:val="00E54AD1"/>
    <w:rsid w:val="00E54D04"/>
    <w:rsid w:val="00E557CD"/>
    <w:rsid w:val="00E55823"/>
    <w:rsid w:val="00E558AE"/>
    <w:rsid w:val="00E55CED"/>
    <w:rsid w:val="00E56099"/>
    <w:rsid w:val="00E5670E"/>
    <w:rsid w:val="00E56F23"/>
    <w:rsid w:val="00E56FA1"/>
    <w:rsid w:val="00E604FF"/>
    <w:rsid w:val="00E61B32"/>
    <w:rsid w:val="00E61C3F"/>
    <w:rsid w:val="00E62E1E"/>
    <w:rsid w:val="00E62F94"/>
    <w:rsid w:val="00E63E80"/>
    <w:rsid w:val="00E63F31"/>
    <w:rsid w:val="00E64735"/>
    <w:rsid w:val="00E6491F"/>
    <w:rsid w:val="00E64A37"/>
    <w:rsid w:val="00E675AC"/>
    <w:rsid w:val="00E67AB9"/>
    <w:rsid w:val="00E67F02"/>
    <w:rsid w:val="00E703E8"/>
    <w:rsid w:val="00E70B9A"/>
    <w:rsid w:val="00E71578"/>
    <w:rsid w:val="00E716E3"/>
    <w:rsid w:val="00E72AF7"/>
    <w:rsid w:val="00E73ACE"/>
    <w:rsid w:val="00E73FC7"/>
    <w:rsid w:val="00E7479A"/>
    <w:rsid w:val="00E74C9A"/>
    <w:rsid w:val="00E74EED"/>
    <w:rsid w:val="00E7544D"/>
    <w:rsid w:val="00E75A9D"/>
    <w:rsid w:val="00E75FA9"/>
    <w:rsid w:val="00E7693E"/>
    <w:rsid w:val="00E774B1"/>
    <w:rsid w:val="00E7768E"/>
    <w:rsid w:val="00E77DE0"/>
    <w:rsid w:val="00E77F51"/>
    <w:rsid w:val="00E80567"/>
    <w:rsid w:val="00E80A34"/>
    <w:rsid w:val="00E81538"/>
    <w:rsid w:val="00E81EF3"/>
    <w:rsid w:val="00E831C7"/>
    <w:rsid w:val="00E83804"/>
    <w:rsid w:val="00E83E8B"/>
    <w:rsid w:val="00E84041"/>
    <w:rsid w:val="00E8434F"/>
    <w:rsid w:val="00E8533B"/>
    <w:rsid w:val="00E86901"/>
    <w:rsid w:val="00E86944"/>
    <w:rsid w:val="00E86CC5"/>
    <w:rsid w:val="00E86EEE"/>
    <w:rsid w:val="00E8719A"/>
    <w:rsid w:val="00E90D3A"/>
    <w:rsid w:val="00E91103"/>
    <w:rsid w:val="00E911F7"/>
    <w:rsid w:val="00E91367"/>
    <w:rsid w:val="00E919EC"/>
    <w:rsid w:val="00E91AAD"/>
    <w:rsid w:val="00E91C5D"/>
    <w:rsid w:val="00E92EDE"/>
    <w:rsid w:val="00E93495"/>
    <w:rsid w:val="00E93FCD"/>
    <w:rsid w:val="00E961CF"/>
    <w:rsid w:val="00E96E55"/>
    <w:rsid w:val="00EA128B"/>
    <w:rsid w:val="00EA234E"/>
    <w:rsid w:val="00EA2CA5"/>
    <w:rsid w:val="00EA42B4"/>
    <w:rsid w:val="00EA5302"/>
    <w:rsid w:val="00EA6598"/>
    <w:rsid w:val="00EA69A1"/>
    <w:rsid w:val="00EA6C29"/>
    <w:rsid w:val="00EA7207"/>
    <w:rsid w:val="00EA7AD1"/>
    <w:rsid w:val="00EB1702"/>
    <w:rsid w:val="00EB186A"/>
    <w:rsid w:val="00EB1923"/>
    <w:rsid w:val="00EB2306"/>
    <w:rsid w:val="00EB257A"/>
    <w:rsid w:val="00EB2703"/>
    <w:rsid w:val="00EB2B04"/>
    <w:rsid w:val="00EB2C81"/>
    <w:rsid w:val="00EB36CD"/>
    <w:rsid w:val="00EB3838"/>
    <w:rsid w:val="00EB3B21"/>
    <w:rsid w:val="00EB4043"/>
    <w:rsid w:val="00EB408B"/>
    <w:rsid w:val="00EB4410"/>
    <w:rsid w:val="00EB44C2"/>
    <w:rsid w:val="00EB4744"/>
    <w:rsid w:val="00EB4A5C"/>
    <w:rsid w:val="00EB4D78"/>
    <w:rsid w:val="00EB50A2"/>
    <w:rsid w:val="00EB50B5"/>
    <w:rsid w:val="00EB57AC"/>
    <w:rsid w:val="00EB652D"/>
    <w:rsid w:val="00EB65B2"/>
    <w:rsid w:val="00EB6D0B"/>
    <w:rsid w:val="00EB6FC8"/>
    <w:rsid w:val="00EC0171"/>
    <w:rsid w:val="00EC0501"/>
    <w:rsid w:val="00EC0560"/>
    <w:rsid w:val="00EC0878"/>
    <w:rsid w:val="00EC0D39"/>
    <w:rsid w:val="00EC2104"/>
    <w:rsid w:val="00EC25D1"/>
    <w:rsid w:val="00EC26A3"/>
    <w:rsid w:val="00EC2AAD"/>
    <w:rsid w:val="00EC3DC1"/>
    <w:rsid w:val="00EC3F44"/>
    <w:rsid w:val="00EC4D20"/>
    <w:rsid w:val="00EC7DEF"/>
    <w:rsid w:val="00ED00A4"/>
    <w:rsid w:val="00ED04BA"/>
    <w:rsid w:val="00ED0905"/>
    <w:rsid w:val="00ED0A7D"/>
    <w:rsid w:val="00ED1426"/>
    <w:rsid w:val="00ED1B5E"/>
    <w:rsid w:val="00ED1ECF"/>
    <w:rsid w:val="00ED2202"/>
    <w:rsid w:val="00ED33F7"/>
    <w:rsid w:val="00ED3452"/>
    <w:rsid w:val="00ED36DD"/>
    <w:rsid w:val="00ED39D2"/>
    <w:rsid w:val="00ED40D7"/>
    <w:rsid w:val="00ED5025"/>
    <w:rsid w:val="00ED55F1"/>
    <w:rsid w:val="00ED5A03"/>
    <w:rsid w:val="00ED68BA"/>
    <w:rsid w:val="00ED6F95"/>
    <w:rsid w:val="00ED6FD5"/>
    <w:rsid w:val="00ED7EB8"/>
    <w:rsid w:val="00EE0C82"/>
    <w:rsid w:val="00EE25D9"/>
    <w:rsid w:val="00EE2B99"/>
    <w:rsid w:val="00EE2E33"/>
    <w:rsid w:val="00EE31CF"/>
    <w:rsid w:val="00EE3984"/>
    <w:rsid w:val="00EE3A4A"/>
    <w:rsid w:val="00EE3B90"/>
    <w:rsid w:val="00EE414D"/>
    <w:rsid w:val="00EE464B"/>
    <w:rsid w:val="00EE4E09"/>
    <w:rsid w:val="00EE5A40"/>
    <w:rsid w:val="00EE5D5D"/>
    <w:rsid w:val="00EE5F1B"/>
    <w:rsid w:val="00EE79A9"/>
    <w:rsid w:val="00EF0601"/>
    <w:rsid w:val="00EF0BE9"/>
    <w:rsid w:val="00EF17EE"/>
    <w:rsid w:val="00EF1DD5"/>
    <w:rsid w:val="00EF1EF6"/>
    <w:rsid w:val="00EF4562"/>
    <w:rsid w:val="00EF50B1"/>
    <w:rsid w:val="00EF53A5"/>
    <w:rsid w:val="00EF577A"/>
    <w:rsid w:val="00EF6282"/>
    <w:rsid w:val="00EF640E"/>
    <w:rsid w:val="00EF7672"/>
    <w:rsid w:val="00EF7BCA"/>
    <w:rsid w:val="00F00AA4"/>
    <w:rsid w:val="00F0125B"/>
    <w:rsid w:val="00F0149E"/>
    <w:rsid w:val="00F0153F"/>
    <w:rsid w:val="00F01574"/>
    <w:rsid w:val="00F018F2"/>
    <w:rsid w:val="00F01B6B"/>
    <w:rsid w:val="00F01EFE"/>
    <w:rsid w:val="00F042B5"/>
    <w:rsid w:val="00F04428"/>
    <w:rsid w:val="00F06041"/>
    <w:rsid w:val="00F06331"/>
    <w:rsid w:val="00F068F3"/>
    <w:rsid w:val="00F06D5F"/>
    <w:rsid w:val="00F06EEC"/>
    <w:rsid w:val="00F10234"/>
    <w:rsid w:val="00F1033F"/>
    <w:rsid w:val="00F1035A"/>
    <w:rsid w:val="00F10990"/>
    <w:rsid w:val="00F115DB"/>
    <w:rsid w:val="00F1164F"/>
    <w:rsid w:val="00F119A6"/>
    <w:rsid w:val="00F13D49"/>
    <w:rsid w:val="00F14414"/>
    <w:rsid w:val="00F14CFC"/>
    <w:rsid w:val="00F14F0B"/>
    <w:rsid w:val="00F153A9"/>
    <w:rsid w:val="00F1572D"/>
    <w:rsid w:val="00F1669B"/>
    <w:rsid w:val="00F16FBC"/>
    <w:rsid w:val="00F174A2"/>
    <w:rsid w:val="00F17A9A"/>
    <w:rsid w:val="00F207BC"/>
    <w:rsid w:val="00F20D54"/>
    <w:rsid w:val="00F20D9E"/>
    <w:rsid w:val="00F20F4A"/>
    <w:rsid w:val="00F220CD"/>
    <w:rsid w:val="00F22238"/>
    <w:rsid w:val="00F22386"/>
    <w:rsid w:val="00F223E3"/>
    <w:rsid w:val="00F2243F"/>
    <w:rsid w:val="00F227DF"/>
    <w:rsid w:val="00F22B2B"/>
    <w:rsid w:val="00F22E82"/>
    <w:rsid w:val="00F22E9F"/>
    <w:rsid w:val="00F23127"/>
    <w:rsid w:val="00F2377C"/>
    <w:rsid w:val="00F238B3"/>
    <w:rsid w:val="00F23C14"/>
    <w:rsid w:val="00F249E4"/>
    <w:rsid w:val="00F24CE5"/>
    <w:rsid w:val="00F24E7A"/>
    <w:rsid w:val="00F24F71"/>
    <w:rsid w:val="00F2517F"/>
    <w:rsid w:val="00F265E4"/>
    <w:rsid w:val="00F27181"/>
    <w:rsid w:val="00F27235"/>
    <w:rsid w:val="00F2731C"/>
    <w:rsid w:val="00F27779"/>
    <w:rsid w:val="00F27B40"/>
    <w:rsid w:val="00F30189"/>
    <w:rsid w:val="00F306B3"/>
    <w:rsid w:val="00F3075E"/>
    <w:rsid w:val="00F31139"/>
    <w:rsid w:val="00F32EAE"/>
    <w:rsid w:val="00F32F7B"/>
    <w:rsid w:val="00F33274"/>
    <w:rsid w:val="00F3330A"/>
    <w:rsid w:val="00F3528D"/>
    <w:rsid w:val="00F355A3"/>
    <w:rsid w:val="00F3572B"/>
    <w:rsid w:val="00F35EA4"/>
    <w:rsid w:val="00F3722C"/>
    <w:rsid w:val="00F37BAF"/>
    <w:rsid w:val="00F37F04"/>
    <w:rsid w:val="00F400A9"/>
    <w:rsid w:val="00F40CB3"/>
    <w:rsid w:val="00F4154D"/>
    <w:rsid w:val="00F4156E"/>
    <w:rsid w:val="00F41596"/>
    <w:rsid w:val="00F418D3"/>
    <w:rsid w:val="00F41D69"/>
    <w:rsid w:val="00F4308B"/>
    <w:rsid w:val="00F43BE6"/>
    <w:rsid w:val="00F43CA7"/>
    <w:rsid w:val="00F442FF"/>
    <w:rsid w:val="00F44BAB"/>
    <w:rsid w:val="00F45501"/>
    <w:rsid w:val="00F455E7"/>
    <w:rsid w:val="00F45BE1"/>
    <w:rsid w:val="00F45ECB"/>
    <w:rsid w:val="00F472E6"/>
    <w:rsid w:val="00F4734C"/>
    <w:rsid w:val="00F47B3A"/>
    <w:rsid w:val="00F503CE"/>
    <w:rsid w:val="00F506F9"/>
    <w:rsid w:val="00F508C4"/>
    <w:rsid w:val="00F50D8D"/>
    <w:rsid w:val="00F51EBD"/>
    <w:rsid w:val="00F52CE5"/>
    <w:rsid w:val="00F53A13"/>
    <w:rsid w:val="00F540BB"/>
    <w:rsid w:val="00F5478A"/>
    <w:rsid w:val="00F54CE7"/>
    <w:rsid w:val="00F55863"/>
    <w:rsid w:val="00F559C4"/>
    <w:rsid w:val="00F5662E"/>
    <w:rsid w:val="00F56704"/>
    <w:rsid w:val="00F56A99"/>
    <w:rsid w:val="00F57324"/>
    <w:rsid w:val="00F623B2"/>
    <w:rsid w:val="00F627A0"/>
    <w:rsid w:val="00F63049"/>
    <w:rsid w:val="00F63240"/>
    <w:rsid w:val="00F63420"/>
    <w:rsid w:val="00F63A43"/>
    <w:rsid w:val="00F63E31"/>
    <w:rsid w:val="00F6410E"/>
    <w:rsid w:val="00F648F6"/>
    <w:rsid w:val="00F655DE"/>
    <w:rsid w:val="00F658CD"/>
    <w:rsid w:val="00F65EE7"/>
    <w:rsid w:val="00F66BFE"/>
    <w:rsid w:val="00F70CCF"/>
    <w:rsid w:val="00F71127"/>
    <w:rsid w:val="00F71496"/>
    <w:rsid w:val="00F71734"/>
    <w:rsid w:val="00F723FA"/>
    <w:rsid w:val="00F72DFD"/>
    <w:rsid w:val="00F74B61"/>
    <w:rsid w:val="00F74D1A"/>
    <w:rsid w:val="00F75135"/>
    <w:rsid w:val="00F754F0"/>
    <w:rsid w:val="00F75838"/>
    <w:rsid w:val="00F75DA9"/>
    <w:rsid w:val="00F77A9E"/>
    <w:rsid w:val="00F80471"/>
    <w:rsid w:val="00F80D40"/>
    <w:rsid w:val="00F81D09"/>
    <w:rsid w:val="00F839FF"/>
    <w:rsid w:val="00F83C42"/>
    <w:rsid w:val="00F843CF"/>
    <w:rsid w:val="00F8458A"/>
    <w:rsid w:val="00F85829"/>
    <w:rsid w:val="00F85B38"/>
    <w:rsid w:val="00F86E60"/>
    <w:rsid w:val="00F870BC"/>
    <w:rsid w:val="00F8785C"/>
    <w:rsid w:val="00F91102"/>
    <w:rsid w:val="00F915C0"/>
    <w:rsid w:val="00F91AED"/>
    <w:rsid w:val="00F91C69"/>
    <w:rsid w:val="00F92260"/>
    <w:rsid w:val="00F93846"/>
    <w:rsid w:val="00F93B78"/>
    <w:rsid w:val="00F93D5C"/>
    <w:rsid w:val="00F957A0"/>
    <w:rsid w:val="00F977C7"/>
    <w:rsid w:val="00F97A45"/>
    <w:rsid w:val="00FA0906"/>
    <w:rsid w:val="00FA0B2E"/>
    <w:rsid w:val="00FA130E"/>
    <w:rsid w:val="00FA1394"/>
    <w:rsid w:val="00FA2A4F"/>
    <w:rsid w:val="00FA2BEB"/>
    <w:rsid w:val="00FA3523"/>
    <w:rsid w:val="00FA3B69"/>
    <w:rsid w:val="00FA3C31"/>
    <w:rsid w:val="00FA4737"/>
    <w:rsid w:val="00FA4A4D"/>
    <w:rsid w:val="00FA70F5"/>
    <w:rsid w:val="00FA77F4"/>
    <w:rsid w:val="00FA7C52"/>
    <w:rsid w:val="00FB033A"/>
    <w:rsid w:val="00FB05BC"/>
    <w:rsid w:val="00FB10E1"/>
    <w:rsid w:val="00FB148A"/>
    <w:rsid w:val="00FB15C0"/>
    <w:rsid w:val="00FB16D8"/>
    <w:rsid w:val="00FB22A2"/>
    <w:rsid w:val="00FB2E2C"/>
    <w:rsid w:val="00FB3352"/>
    <w:rsid w:val="00FB43BC"/>
    <w:rsid w:val="00FB457F"/>
    <w:rsid w:val="00FB5B15"/>
    <w:rsid w:val="00FB7121"/>
    <w:rsid w:val="00FB728C"/>
    <w:rsid w:val="00FB7494"/>
    <w:rsid w:val="00FB7881"/>
    <w:rsid w:val="00FC01BC"/>
    <w:rsid w:val="00FC081F"/>
    <w:rsid w:val="00FC0B34"/>
    <w:rsid w:val="00FC0D40"/>
    <w:rsid w:val="00FC0E6B"/>
    <w:rsid w:val="00FC0ECA"/>
    <w:rsid w:val="00FC1230"/>
    <w:rsid w:val="00FC180F"/>
    <w:rsid w:val="00FC2636"/>
    <w:rsid w:val="00FC28D2"/>
    <w:rsid w:val="00FC2A5F"/>
    <w:rsid w:val="00FC31C7"/>
    <w:rsid w:val="00FC49C9"/>
    <w:rsid w:val="00FC4D77"/>
    <w:rsid w:val="00FC50E1"/>
    <w:rsid w:val="00FC5803"/>
    <w:rsid w:val="00FC5A2F"/>
    <w:rsid w:val="00FC5B46"/>
    <w:rsid w:val="00FC5CF5"/>
    <w:rsid w:val="00FC64BF"/>
    <w:rsid w:val="00FC6583"/>
    <w:rsid w:val="00FC6760"/>
    <w:rsid w:val="00FC6ED4"/>
    <w:rsid w:val="00FC6FE4"/>
    <w:rsid w:val="00FC7375"/>
    <w:rsid w:val="00FC7B44"/>
    <w:rsid w:val="00FD0415"/>
    <w:rsid w:val="00FD0AF4"/>
    <w:rsid w:val="00FD107B"/>
    <w:rsid w:val="00FD15E6"/>
    <w:rsid w:val="00FD1FA6"/>
    <w:rsid w:val="00FD3A8D"/>
    <w:rsid w:val="00FD3E6E"/>
    <w:rsid w:val="00FD40E5"/>
    <w:rsid w:val="00FD4DDB"/>
    <w:rsid w:val="00FD5087"/>
    <w:rsid w:val="00FD5E6A"/>
    <w:rsid w:val="00FD5F76"/>
    <w:rsid w:val="00FD727C"/>
    <w:rsid w:val="00FD7620"/>
    <w:rsid w:val="00FD7D53"/>
    <w:rsid w:val="00FE06F2"/>
    <w:rsid w:val="00FE08A0"/>
    <w:rsid w:val="00FE11D6"/>
    <w:rsid w:val="00FE1466"/>
    <w:rsid w:val="00FE1C8C"/>
    <w:rsid w:val="00FE1F14"/>
    <w:rsid w:val="00FE326A"/>
    <w:rsid w:val="00FE4A6B"/>
    <w:rsid w:val="00FE5392"/>
    <w:rsid w:val="00FE5B80"/>
    <w:rsid w:val="00FE5C90"/>
    <w:rsid w:val="00FE5C99"/>
    <w:rsid w:val="00FE61B1"/>
    <w:rsid w:val="00FE62AC"/>
    <w:rsid w:val="00FE6725"/>
    <w:rsid w:val="00FE6CC5"/>
    <w:rsid w:val="00FE6CCB"/>
    <w:rsid w:val="00FE7449"/>
    <w:rsid w:val="00FE74FE"/>
    <w:rsid w:val="00FE7D22"/>
    <w:rsid w:val="00FF0107"/>
    <w:rsid w:val="00FF0A20"/>
    <w:rsid w:val="00FF10DD"/>
    <w:rsid w:val="00FF329B"/>
    <w:rsid w:val="00FF32C7"/>
    <w:rsid w:val="00FF343A"/>
    <w:rsid w:val="00FF3A87"/>
    <w:rsid w:val="00FF4290"/>
    <w:rsid w:val="00FF466F"/>
    <w:rsid w:val="00FF51AF"/>
    <w:rsid w:val="00FF54B6"/>
    <w:rsid w:val="00FF613B"/>
    <w:rsid w:val="00FF622E"/>
    <w:rsid w:val="00FF76D1"/>
    <w:rsid w:val="00FF7731"/>
    <w:rsid w:val="00FF784A"/>
    <w:rsid w:val="00FF79A0"/>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2AEBC730"/>
  <w15:docId w15:val="{5B7DD6ED-00EA-44AE-A825-FCECD2C6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8"/>
    <w:lsdException w:name="Medium Grid 3 Accent 1" w:uiPriority="69"/>
    <w:lsdException w:name="Dark List Accent 1" w:uiPriority="65"/>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6"/>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26C"/>
    <w:pPr>
      <w:spacing w:after="200" w:line="276" w:lineRule="auto"/>
    </w:pPr>
    <w:rPr>
      <w:sz w:val="22"/>
      <w:szCs w:val="22"/>
      <w:lang w:val="el-GR"/>
    </w:rPr>
  </w:style>
  <w:style w:type="paragraph" w:styleId="Heading1">
    <w:name w:val="heading 1"/>
    <w:basedOn w:val="Normal"/>
    <w:next w:val="Normal"/>
    <w:link w:val="Heading1Char"/>
    <w:uiPriority w:val="9"/>
    <w:qFormat/>
    <w:rsid w:val="009010E3"/>
    <w:pPr>
      <w:keepNext/>
      <w:keepLines/>
      <w:spacing w:before="480" w:after="0"/>
      <w:outlineLvl w:val="0"/>
    </w:pPr>
    <w:rPr>
      <w:rFonts w:ascii="Cambria" w:eastAsia="SimSun" w:hAnsi="Cambria"/>
      <w:b/>
      <w:bCs/>
      <w:color w:val="365F91"/>
      <w:sz w:val="28"/>
      <w:szCs w:val="28"/>
      <w:lang w:val="x-none" w:eastAsia="x-none"/>
    </w:rPr>
  </w:style>
  <w:style w:type="paragraph" w:styleId="Heading2">
    <w:name w:val="heading 2"/>
    <w:basedOn w:val="Normal"/>
    <w:next w:val="Normal"/>
    <w:link w:val="Heading2Char"/>
    <w:uiPriority w:val="9"/>
    <w:qFormat/>
    <w:rsid w:val="00C90745"/>
    <w:pPr>
      <w:keepNext/>
      <w:keepLines/>
      <w:spacing w:before="200" w:after="0"/>
      <w:jc w:val="center"/>
      <w:outlineLvl w:val="1"/>
    </w:pPr>
    <w:rPr>
      <w:rFonts w:ascii="Cambria" w:eastAsia="SimSun" w:hAnsi="Cambria"/>
      <w:b/>
      <w:bCs/>
      <w:color w:val="4F81BD"/>
      <w:sz w:val="26"/>
      <w:szCs w:val="26"/>
      <w:lang w:eastAsia="x-none"/>
    </w:rPr>
  </w:style>
  <w:style w:type="paragraph" w:styleId="Heading3">
    <w:name w:val="heading 3"/>
    <w:basedOn w:val="Normal"/>
    <w:next w:val="Normal"/>
    <w:link w:val="Heading3Char"/>
    <w:uiPriority w:val="9"/>
    <w:qFormat/>
    <w:rsid w:val="00DA22F1"/>
    <w:pPr>
      <w:keepNext/>
      <w:keepLines/>
      <w:spacing w:before="200" w:after="0"/>
      <w:outlineLvl w:val="2"/>
    </w:pPr>
    <w:rPr>
      <w:rFonts w:ascii="Cambria" w:eastAsia="SimSun" w:hAnsi="Cambria"/>
      <w:b/>
      <w:bCs/>
      <w:color w:val="4F81BD"/>
      <w:sz w:val="20"/>
      <w:szCs w:val="20"/>
      <w:lang w:val="x-none" w:eastAsia="x-none"/>
    </w:rPr>
  </w:style>
  <w:style w:type="paragraph" w:styleId="Heading4">
    <w:name w:val="heading 4"/>
    <w:basedOn w:val="Normal"/>
    <w:next w:val="Normal"/>
    <w:link w:val="Heading4Char"/>
    <w:uiPriority w:val="9"/>
    <w:qFormat/>
    <w:rsid w:val="00DA22F1"/>
    <w:pPr>
      <w:pBdr>
        <w:bottom w:val="dotted" w:sz="4" w:space="1" w:color="943634"/>
      </w:pBdr>
      <w:spacing w:after="120" w:line="252" w:lineRule="auto"/>
      <w:jc w:val="center"/>
      <w:outlineLvl w:val="3"/>
    </w:pPr>
    <w:rPr>
      <w:rFonts w:ascii="Cambria" w:eastAsia="SimSun" w:hAnsi="Cambria"/>
      <w:caps/>
      <w:color w:val="622423"/>
      <w:spacing w:val="10"/>
      <w:sz w:val="20"/>
      <w:szCs w:val="20"/>
      <w:lang w:val="en-GB" w:eastAsia="x-none"/>
    </w:rPr>
  </w:style>
  <w:style w:type="paragraph" w:styleId="Heading5">
    <w:name w:val="heading 5"/>
    <w:basedOn w:val="Normal"/>
    <w:next w:val="Normal"/>
    <w:link w:val="Heading5Char"/>
    <w:uiPriority w:val="9"/>
    <w:qFormat/>
    <w:rsid w:val="00167FE0"/>
    <w:pPr>
      <w:spacing w:before="320" w:after="120" w:line="252" w:lineRule="auto"/>
      <w:jc w:val="center"/>
      <w:outlineLvl w:val="4"/>
    </w:pPr>
    <w:rPr>
      <w:rFonts w:eastAsia="HGGothicM"/>
      <w:caps/>
      <w:color w:val="004D6C"/>
      <w:spacing w:val="10"/>
      <w:lang w:val="en-GB" w:eastAsia="x-none"/>
    </w:rPr>
  </w:style>
  <w:style w:type="paragraph" w:styleId="Heading6">
    <w:name w:val="heading 6"/>
    <w:basedOn w:val="Normal"/>
    <w:next w:val="Normal"/>
    <w:link w:val="Heading6Char"/>
    <w:uiPriority w:val="9"/>
    <w:qFormat/>
    <w:rsid w:val="00167FE0"/>
    <w:pPr>
      <w:spacing w:after="120" w:line="252" w:lineRule="auto"/>
      <w:jc w:val="center"/>
      <w:outlineLvl w:val="5"/>
    </w:pPr>
    <w:rPr>
      <w:rFonts w:eastAsia="HGGothicM"/>
      <w:caps/>
      <w:color w:val="0075A2"/>
      <w:spacing w:val="10"/>
      <w:lang w:val="en-GB" w:eastAsia="x-none"/>
    </w:rPr>
  </w:style>
  <w:style w:type="paragraph" w:styleId="Heading7">
    <w:name w:val="heading 7"/>
    <w:basedOn w:val="Normal"/>
    <w:next w:val="Normal"/>
    <w:link w:val="Heading7Char"/>
    <w:uiPriority w:val="9"/>
    <w:qFormat/>
    <w:rsid w:val="00167FE0"/>
    <w:pPr>
      <w:spacing w:after="120" w:line="252" w:lineRule="auto"/>
      <w:jc w:val="center"/>
      <w:outlineLvl w:val="6"/>
    </w:pPr>
    <w:rPr>
      <w:rFonts w:eastAsia="HGGothicM"/>
      <w:i/>
      <w:iCs/>
      <w:caps/>
      <w:color w:val="0075A2"/>
      <w:spacing w:val="10"/>
      <w:lang w:val="en-GB" w:eastAsia="x-none"/>
    </w:rPr>
  </w:style>
  <w:style w:type="paragraph" w:styleId="Heading8">
    <w:name w:val="heading 8"/>
    <w:basedOn w:val="Normal"/>
    <w:next w:val="Normal"/>
    <w:link w:val="Heading8Char"/>
    <w:uiPriority w:val="9"/>
    <w:qFormat/>
    <w:rsid w:val="00167FE0"/>
    <w:pPr>
      <w:spacing w:after="120" w:line="252" w:lineRule="auto"/>
      <w:jc w:val="center"/>
      <w:outlineLvl w:val="7"/>
    </w:pPr>
    <w:rPr>
      <w:rFonts w:eastAsia="HGGothicM"/>
      <w:caps/>
      <w:spacing w:val="10"/>
      <w:sz w:val="20"/>
      <w:szCs w:val="20"/>
      <w:lang w:val="en-GB" w:eastAsia="x-none"/>
    </w:rPr>
  </w:style>
  <w:style w:type="paragraph" w:styleId="Heading9">
    <w:name w:val="heading 9"/>
    <w:basedOn w:val="Normal"/>
    <w:next w:val="Normal"/>
    <w:link w:val="Heading9Char"/>
    <w:uiPriority w:val="9"/>
    <w:qFormat/>
    <w:rsid w:val="00167FE0"/>
    <w:pPr>
      <w:spacing w:after="120" w:line="252" w:lineRule="auto"/>
      <w:jc w:val="center"/>
      <w:outlineLvl w:val="8"/>
    </w:pPr>
    <w:rPr>
      <w:rFonts w:eastAsia="HGGothicM"/>
      <w:i/>
      <w:iCs/>
      <w:caps/>
      <w:spacing w:val="10"/>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10E3"/>
    <w:rPr>
      <w:rFonts w:ascii="Cambria" w:eastAsia="SimSun" w:hAnsi="Cambria" w:cs="Times New Roman"/>
      <w:b/>
      <w:bCs/>
      <w:color w:val="365F91"/>
      <w:sz w:val="28"/>
      <w:szCs w:val="28"/>
    </w:rPr>
  </w:style>
  <w:style w:type="character" w:customStyle="1" w:styleId="Heading2Char">
    <w:name w:val="Heading 2 Char"/>
    <w:link w:val="Heading2"/>
    <w:uiPriority w:val="9"/>
    <w:rsid w:val="00C90745"/>
    <w:rPr>
      <w:rFonts w:ascii="Cambria" w:eastAsia="SimSun" w:hAnsi="Cambria"/>
      <w:b/>
      <w:bCs/>
      <w:color w:val="4F81BD"/>
      <w:sz w:val="26"/>
      <w:szCs w:val="26"/>
      <w:lang w:val="el-GR"/>
    </w:rPr>
  </w:style>
  <w:style w:type="character" w:customStyle="1" w:styleId="Heading3Char">
    <w:name w:val="Heading 3 Char"/>
    <w:link w:val="Heading3"/>
    <w:uiPriority w:val="9"/>
    <w:rsid w:val="00DA22F1"/>
    <w:rPr>
      <w:rFonts w:ascii="Cambria" w:eastAsia="SimSun" w:hAnsi="Cambria" w:cs="Times New Roman"/>
      <w:b/>
      <w:bCs/>
      <w:color w:val="4F81BD"/>
    </w:rPr>
  </w:style>
  <w:style w:type="character" w:customStyle="1" w:styleId="Heading4Char">
    <w:name w:val="Heading 4 Char"/>
    <w:link w:val="Heading4"/>
    <w:uiPriority w:val="9"/>
    <w:semiHidden/>
    <w:rsid w:val="00DA22F1"/>
    <w:rPr>
      <w:rFonts w:ascii="Cambria" w:eastAsia="SimSun" w:hAnsi="Cambria" w:cs="Times New Roman"/>
      <w:caps/>
      <w:color w:val="622423"/>
      <w:spacing w:val="10"/>
      <w:lang w:val="en-GB"/>
    </w:rPr>
  </w:style>
  <w:style w:type="character" w:customStyle="1" w:styleId="Heading5Char">
    <w:name w:val="Heading 5 Char"/>
    <w:link w:val="Heading5"/>
    <w:uiPriority w:val="9"/>
    <w:semiHidden/>
    <w:rsid w:val="00167FE0"/>
    <w:rPr>
      <w:rFonts w:eastAsia="HGGothicM"/>
      <w:caps/>
      <w:color w:val="004D6C"/>
      <w:spacing w:val="10"/>
      <w:sz w:val="22"/>
      <w:szCs w:val="22"/>
      <w:lang w:val="en-GB"/>
    </w:rPr>
  </w:style>
  <w:style w:type="character" w:customStyle="1" w:styleId="Heading6Char">
    <w:name w:val="Heading 6 Char"/>
    <w:link w:val="Heading6"/>
    <w:uiPriority w:val="9"/>
    <w:semiHidden/>
    <w:rsid w:val="00167FE0"/>
    <w:rPr>
      <w:rFonts w:eastAsia="HGGothicM"/>
      <w:caps/>
      <w:color w:val="0075A2"/>
      <w:spacing w:val="10"/>
      <w:sz w:val="22"/>
      <w:szCs w:val="22"/>
      <w:lang w:val="en-GB"/>
    </w:rPr>
  </w:style>
  <w:style w:type="character" w:customStyle="1" w:styleId="Heading7Char">
    <w:name w:val="Heading 7 Char"/>
    <w:link w:val="Heading7"/>
    <w:uiPriority w:val="9"/>
    <w:semiHidden/>
    <w:rsid w:val="00167FE0"/>
    <w:rPr>
      <w:rFonts w:eastAsia="HGGothicM"/>
      <w:i/>
      <w:iCs/>
      <w:caps/>
      <w:color w:val="0075A2"/>
      <w:spacing w:val="10"/>
      <w:sz w:val="22"/>
      <w:szCs w:val="22"/>
      <w:lang w:val="en-GB"/>
    </w:rPr>
  </w:style>
  <w:style w:type="character" w:customStyle="1" w:styleId="Heading8Char">
    <w:name w:val="Heading 8 Char"/>
    <w:link w:val="Heading8"/>
    <w:uiPriority w:val="9"/>
    <w:semiHidden/>
    <w:rsid w:val="00167FE0"/>
    <w:rPr>
      <w:rFonts w:eastAsia="HGGothicM"/>
      <w:caps/>
      <w:spacing w:val="10"/>
      <w:lang w:val="en-GB"/>
    </w:rPr>
  </w:style>
  <w:style w:type="character" w:customStyle="1" w:styleId="Heading9Char">
    <w:name w:val="Heading 9 Char"/>
    <w:link w:val="Heading9"/>
    <w:uiPriority w:val="9"/>
    <w:semiHidden/>
    <w:rsid w:val="00167FE0"/>
    <w:rPr>
      <w:rFonts w:eastAsia="HGGothicM"/>
      <w:i/>
      <w:iCs/>
      <w:caps/>
      <w:spacing w:val="10"/>
      <w:lang w:val="en-GB"/>
    </w:rPr>
  </w:style>
  <w:style w:type="character" w:styleId="CommentReference">
    <w:name w:val="annotation reference"/>
    <w:uiPriority w:val="99"/>
    <w:semiHidden/>
    <w:unhideWhenUsed/>
    <w:rsid w:val="00DA22F1"/>
    <w:rPr>
      <w:sz w:val="16"/>
      <w:szCs w:val="16"/>
    </w:rPr>
  </w:style>
  <w:style w:type="paragraph" w:styleId="CommentText">
    <w:name w:val="annotation text"/>
    <w:basedOn w:val="Normal"/>
    <w:link w:val="CommentTextChar"/>
    <w:uiPriority w:val="99"/>
    <w:unhideWhenUsed/>
    <w:rsid w:val="00DA22F1"/>
    <w:pPr>
      <w:spacing w:line="240" w:lineRule="auto"/>
    </w:pPr>
    <w:rPr>
      <w:rFonts w:ascii="Cambria" w:eastAsia="SimSun" w:hAnsi="Cambria"/>
      <w:sz w:val="20"/>
      <w:szCs w:val="20"/>
      <w:lang w:val="en-GB" w:eastAsia="x-none"/>
    </w:rPr>
  </w:style>
  <w:style w:type="character" w:customStyle="1" w:styleId="CommentTextChar">
    <w:name w:val="Comment Text Char"/>
    <w:link w:val="CommentText"/>
    <w:uiPriority w:val="99"/>
    <w:rsid w:val="00DA22F1"/>
    <w:rPr>
      <w:rFonts w:ascii="Cambria" w:eastAsia="SimSun" w:hAnsi="Cambria" w:cs="Times New Roman"/>
      <w:sz w:val="20"/>
      <w:szCs w:val="20"/>
      <w:lang w:val="en-GB"/>
    </w:rPr>
  </w:style>
  <w:style w:type="paragraph" w:styleId="ListParagraph">
    <w:name w:val="List Paragraph"/>
    <w:basedOn w:val="Normal"/>
    <w:uiPriority w:val="34"/>
    <w:qFormat/>
    <w:rsid w:val="00DA22F1"/>
    <w:pPr>
      <w:spacing w:line="252" w:lineRule="auto"/>
      <w:ind w:left="720"/>
      <w:contextualSpacing/>
    </w:pPr>
    <w:rPr>
      <w:rFonts w:ascii="Cambria" w:eastAsia="SimSun" w:hAnsi="Cambria"/>
      <w:lang w:val="en-GB"/>
    </w:rPr>
  </w:style>
  <w:style w:type="table" w:customStyle="1" w:styleId="LightList-Accent12">
    <w:name w:val="Light List - Accent 12"/>
    <w:basedOn w:val="TableNormal"/>
    <w:uiPriority w:val="61"/>
    <w:rsid w:val="00DA22F1"/>
    <w:rPr>
      <w:rFonts w:ascii="Cambria" w:eastAsia="SimSun" w:hAnsi="Cambria"/>
      <w:lang w:val="fr-B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2"/>
    <w:uiPriority w:val="61"/>
    <w:rsid w:val="00DA22F1"/>
    <w:rPr>
      <w:rFonts w:ascii="Cambria" w:eastAsia="SimSun" w:hAnsi="Cambria"/>
      <w:lang w:val="fr-B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yperlink">
    <w:name w:val="Hyperlink"/>
    <w:uiPriority w:val="99"/>
    <w:unhideWhenUsed/>
    <w:rsid w:val="00DA22F1"/>
    <w:rPr>
      <w:color w:val="0000FF"/>
      <w:u w:val="single"/>
    </w:rPr>
  </w:style>
  <w:style w:type="paragraph" w:styleId="BalloonText">
    <w:name w:val="Balloon Text"/>
    <w:basedOn w:val="Normal"/>
    <w:link w:val="BalloonTextChar"/>
    <w:uiPriority w:val="99"/>
    <w:semiHidden/>
    <w:unhideWhenUsed/>
    <w:rsid w:val="00DA22F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A22F1"/>
    <w:rPr>
      <w:rFonts w:ascii="Tahoma" w:hAnsi="Tahoma" w:cs="Tahoma"/>
      <w:sz w:val="16"/>
      <w:szCs w:val="16"/>
    </w:rPr>
  </w:style>
  <w:style w:type="table" w:styleId="LightShading-Accent5">
    <w:name w:val="Light Shading Accent 5"/>
    <w:basedOn w:val="TableNormal"/>
    <w:uiPriority w:val="60"/>
    <w:rsid w:val="00DA22F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2-Accent5">
    <w:name w:val="Medium List 2 Accent 5"/>
    <w:basedOn w:val="TableNormal"/>
    <w:uiPriority w:val="66"/>
    <w:rsid w:val="00DA22F1"/>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11">
    <w:name w:val="Light Shading - Accent 11"/>
    <w:basedOn w:val="TableNormal"/>
    <w:uiPriority w:val="60"/>
    <w:rsid w:val="00DA22F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1-Accent11">
    <w:name w:val="Medium List 1 - Accent 11"/>
    <w:basedOn w:val="TableNormal"/>
    <w:uiPriority w:val="65"/>
    <w:rsid w:val="002C5F54"/>
    <w:rPr>
      <w:color w:val="000000"/>
    </w:rPr>
    <w:tblPr>
      <w:tblStyleRowBandSize w:val="1"/>
      <w:tblStyleColBandSize w:val="1"/>
      <w:tblBorders>
        <w:top w:val="single" w:sz="8" w:space="0" w:color="4F81BD"/>
        <w:bottom w:val="single" w:sz="8" w:space="0" w:color="4F81BD"/>
      </w:tblBorders>
    </w:tblPr>
    <w:tblStylePr w:type="firstRow">
      <w:rPr>
        <w:rFonts w:ascii="New York" w:eastAsia="New York" w:hAnsi="New Yor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NoSpacing">
    <w:name w:val="No Spacing"/>
    <w:link w:val="NoSpacingChar"/>
    <w:uiPriority w:val="1"/>
    <w:qFormat/>
    <w:rsid w:val="001C1F39"/>
    <w:rPr>
      <w:rFonts w:eastAsia="SimSun"/>
      <w:lang w:eastAsia="ja-JP"/>
    </w:rPr>
  </w:style>
  <w:style w:type="character" w:customStyle="1" w:styleId="NoSpacingChar">
    <w:name w:val="No Spacing Char"/>
    <w:link w:val="NoSpacing"/>
    <w:uiPriority w:val="1"/>
    <w:rsid w:val="001C1F39"/>
    <w:rPr>
      <w:rFonts w:eastAsia="SimSun"/>
      <w:lang w:val="en-US" w:eastAsia="ja-JP" w:bidi="ar-SA"/>
    </w:rPr>
  </w:style>
  <w:style w:type="paragraph" w:styleId="Header">
    <w:name w:val="header"/>
    <w:basedOn w:val="Normal"/>
    <w:link w:val="HeaderChar"/>
    <w:uiPriority w:val="99"/>
    <w:unhideWhenUsed/>
    <w:rsid w:val="009010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10E3"/>
  </w:style>
  <w:style w:type="paragraph" w:styleId="Footer">
    <w:name w:val="footer"/>
    <w:basedOn w:val="Normal"/>
    <w:link w:val="FooterChar"/>
    <w:uiPriority w:val="99"/>
    <w:unhideWhenUsed/>
    <w:rsid w:val="009010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10E3"/>
  </w:style>
  <w:style w:type="paragraph" w:customStyle="1" w:styleId="Default">
    <w:name w:val="Default"/>
    <w:rsid w:val="009010E3"/>
    <w:pPr>
      <w:autoSpaceDE w:val="0"/>
      <w:autoSpaceDN w:val="0"/>
      <w:adjustRightInd w:val="0"/>
    </w:pPr>
    <w:rPr>
      <w:rFonts w:ascii="Tahoma" w:eastAsia="SimSun" w:hAnsi="Tahoma" w:cs="Tahoma"/>
      <w:color w:val="000000"/>
      <w:sz w:val="24"/>
      <w:szCs w:val="24"/>
      <w:lang w:val="fr-BE"/>
    </w:rPr>
  </w:style>
  <w:style w:type="paragraph" w:styleId="NormalWeb">
    <w:name w:val="Normal (Web)"/>
    <w:basedOn w:val="Normal"/>
    <w:uiPriority w:val="99"/>
    <w:unhideWhenUsed/>
    <w:rsid w:val="00033CE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mmentSubjectChar">
    <w:name w:val="Comment Subject Char"/>
    <w:link w:val="CommentSubject"/>
    <w:uiPriority w:val="99"/>
    <w:semiHidden/>
    <w:rsid w:val="00167FE0"/>
    <w:rPr>
      <w:rFonts w:ascii="Cambria" w:eastAsia="HGGothicM" w:hAnsi="Cambria"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167FE0"/>
    <w:rPr>
      <w:rFonts w:eastAsia="HGGothicM"/>
      <w:b/>
      <w:bCs/>
    </w:rPr>
  </w:style>
  <w:style w:type="table" w:styleId="TableGrid">
    <w:name w:val="Table Grid"/>
    <w:basedOn w:val="TableNormal"/>
    <w:uiPriority w:val="39"/>
    <w:rsid w:val="00167FE0"/>
    <w:rPr>
      <w:rFonts w:eastAsia="HGGothic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7FE0"/>
    <w:pPr>
      <w:pBdr>
        <w:top w:val="dotted" w:sz="2" w:space="1" w:color="004E6C"/>
        <w:bottom w:val="dotted" w:sz="2" w:space="6" w:color="004E6C"/>
      </w:pBdr>
      <w:spacing w:before="500" w:after="300" w:line="240" w:lineRule="auto"/>
      <w:jc w:val="center"/>
    </w:pPr>
    <w:rPr>
      <w:rFonts w:eastAsia="HGGothicM"/>
      <w:caps/>
      <w:color w:val="004E6C"/>
      <w:spacing w:val="50"/>
      <w:sz w:val="44"/>
      <w:szCs w:val="44"/>
      <w:lang w:val="en-GB" w:eastAsia="x-none"/>
    </w:rPr>
  </w:style>
  <w:style w:type="character" w:customStyle="1" w:styleId="TitleChar">
    <w:name w:val="Title Char"/>
    <w:link w:val="Title"/>
    <w:uiPriority w:val="10"/>
    <w:rsid w:val="00167FE0"/>
    <w:rPr>
      <w:rFonts w:eastAsia="HGGothicM"/>
      <w:caps/>
      <w:color w:val="004E6C"/>
      <w:spacing w:val="50"/>
      <w:sz w:val="44"/>
      <w:szCs w:val="44"/>
      <w:lang w:val="en-GB"/>
    </w:rPr>
  </w:style>
  <w:style w:type="paragraph" w:styleId="Subtitle">
    <w:name w:val="Subtitle"/>
    <w:basedOn w:val="Normal"/>
    <w:next w:val="Normal"/>
    <w:link w:val="SubtitleChar"/>
    <w:uiPriority w:val="11"/>
    <w:qFormat/>
    <w:rsid w:val="00167FE0"/>
    <w:pPr>
      <w:spacing w:after="560" w:line="240" w:lineRule="auto"/>
      <w:jc w:val="center"/>
    </w:pPr>
    <w:rPr>
      <w:rFonts w:eastAsia="HGGothicM"/>
      <w:caps/>
      <w:spacing w:val="20"/>
      <w:sz w:val="18"/>
      <w:szCs w:val="18"/>
      <w:lang w:val="en-GB" w:eastAsia="x-none"/>
    </w:rPr>
  </w:style>
  <w:style w:type="character" w:customStyle="1" w:styleId="SubtitleChar">
    <w:name w:val="Subtitle Char"/>
    <w:link w:val="Subtitle"/>
    <w:uiPriority w:val="11"/>
    <w:rsid w:val="00167FE0"/>
    <w:rPr>
      <w:rFonts w:eastAsia="HGGothicM"/>
      <w:caps/>
      <w:spacing w:val="20"/>
      <w:sz w:val="18"/>
      <w:szCs w:val="18"/>
      <w:lang w:val="en-GB"/>
    </w:rPr>
  </w:style>
  <w:style w:type="character" w:styleId="Strong">
    <w:name w:val="Strong"/>
    <w:uiPriority w:val="22"/>
    <w:qFormat/>
    <w:rsid w:val="00167FE0"/>
    <w:rPr>
      <w:b/>
      <w:bCs/>
      <w:color w:val="0075A2"/>
      <w:spacing w:val="5"/>
    </w:rPr>
  </w:style>
  <w:style w:type="character" w:styleId="Emphasis">
    <w:name w:val="Emphasis"/>
    <w:uiPriority w:val="20"/>
    <w:qFormat/>
    <w:rsid w:val="00167FE0"/>
    <w:rPr>
      <w:caps/>
      <w:spacing w:val="5"/>
      <w:sz w:val="20"/>
      <w:szCs w:val="20"/>
    </w:rPr>
  </w:style>
  <w:style w:type="paragraph" w:styleId="Quote">
    <w:name w:val="Quote"/>
    <w:basedOn w:val="Normal"/>
    <w:next w:val="Normal"/>
    <w:link w:val="QuoteChar"/>
    <w:uiPriority w:val="29"/>
    <w:qFormat/>
    <w:rsid w:val="00167FE0"/>
    <w:pPr>
      <w:spacing w:line="252" w:lineRule="auto"/>
    </w:pPr>
    <w:rPr>
      <w:rFonts w:eastAsia="HGGothicM"/>
      <w:i/>
      <w:iCs/>
      <w:lang w:val="en-GB" w:eastAsia="x-none"/>
    </w:rPr>
  </w:style>
  <w:style w:type="character" w:customStyle="1" w:styleId="QuoteChar">
    <w:name w:val="Quote Char"/>
    <w:link w:val="Quote"/>
    <w:uiPriority w:val="29"/>
    <w:rsid w:val="00167FE0"/>
    <w:rPr>
      <w:rFonts w:eastAsia="HGGothicM"/>
      <w:i/>
      <w:iCs/>
      <w:sz w:val="22"/>
      <w:szCs w:val="22"/>
      <w:lang w:val="en-GB"/>
    </w:rPr>
  </w:style>
  <w:style w:type="paragraph" w:styleId="IntenseQuote">
    <w:name w:val="Intense Quote"/>
    <w:basedOn w:val="Normal"/>
    <w:next w:val="Normal"/>
    <w:link w:val="IntenseQuoteChar"/>
    <w:uiPriority w:val="30"/>
    <w:qFormat/>
    <w:rsid w:val="00167FE0"/>
    <w:pPr>
      <w:pBdr>
        <w:top w:val="dotted" w:sz="2" w:space="10" w:color="004E6C"/>
        <w:bottom w:val="dotted" w:sz="2" w:space="4" w:color="004E6C"/>
      </w:pBdr>
      <w:spacing w:before="160" w:line="300" w:lineRule="auto"/>
      <w:ind w:left="1440" w:right="1440"/>
    </w:pPr>
    <w:rPr>
      <w:rFonts w:eastAsia="HGGothicM"/>
      <w:caps/>
      <w:color w:val="004D6C"/>
      <w:spacing w:val="5"/>
      <w:sz w:val="20"/>
      <w:szCs w:val="20"/>
      <w:lang w:val="en-GB" w:eastAsia="x-none"/>
    </w:rPr>
  </w:style>
  <w:style w:type="character" w:customStyle="1" w:styleId="IntenseQuoteChar">
    <w:name w:val="Intense Quote Char"/>
    <w:link w:val="IntenseQuote"/>
    <w:uiPriority w:val="30"/>
    <w:rsid w:val="00167FE0"/>
    <w:rPr>
      <w:rFonts w:eastAsia="HGGothicM"/>
      <w:caps/>
      <w:color w:val="004D6C"/>
      <w:spacing w:val="5"/>
      <w:lang w:val="en-GB"/>
    </w:rPr>
  </w:style>
  <w:style w:type="character" w:styleId="SubtleEmphasis">
    <w:name w:val="Subtle Emphasis"/>
    <w:uiPriority w:val="19"/>
    <w:qFormat/>
    <w:rsid w:val="00167FE0"/>
    <w:rPr>
      <w:i/>
      <w:iCs/>
    </w:rPr>
  </w:style>
  <w:style w:type="character" w:styleId="IntenseEmphasis">
    <w:name w:val="Intense Emphasis"/>
    <w:uiPriority w:val="21"/>
    <w:qFormat/>
    <w:rsid w:val="00167FE0"/>
    <w:rPr>
      <w:i/>
      <w:iCs/>
      <w:caps/>
      <w:spacing w:val="10"/>
      <w:sz w:val="20"/>
      <w:szCs w:val="20"/>
    </w:rPr>
  </w:style>
  <w:style w:type="character" w:styleId="SubtleReference">
    <w:name w:val="Subtle Reference"/>
    <w:uiPriority w:val="31"/>
    <w:qFormat/>
    <w:rsid w:val="00167FE0"/>
    <w:rPr>
      <w:rFonts w:ascii="Cambria" w:eastAsia="HGMinchoB" w:hAnsi="Cambria" w:cs="Times New Roman"/>
      <w:i/>
      <w:iCs/>
      <w:color w:val="004D6C"/>
    </w:rPr>
  </w:style>
  <w:style w:type="character" w:styleId="IntenseReference">
    <w:name w:val="Intense Reference"/>
    <w:uiPriority w:val="32"/>
    <w:qFormat/>
    <w:rsid w:val="00167FE0"/>
    <w:rPr>
      <w:rFonts w:ascii="Cambria" w:eastAsia="HGMinchoB" w:hAnsi="Cambria" w:cs="Times New Roman"/>
      <w:b/>
      <w:bCs/>
      <w:i/>
      <w:iCs/>
      <w:color w:val="004D6C"/>
    </w:rPr>
  </w:style>
  <w:style w:type="character" w:styleId="BookTitle">
    <w:name w:val="Book Title"/>
    <w:uiPriority w:val="33"/>
    <w:qFormat/>
    <w:rsid w:val="00167FE0"/>
    <w:rPr>
      <w:caps/>
      <w:color w:val="004D6C"/>
      <w:spacing w:val="5"/>
      <w:u w:color="004D6C"/>
    </w:rPr>
  </w:style>
  <w:style w:type="paragraph" w:styleId="TOCHeading">
    <w:name w:val="TOC Heading"/>
    <w:basedOn w:val="Heading1"/>
    <w:next w:val="Normal"/>
    <w:uiPriority w:val="39"/>
    <w:qFormat/>
    <w:rsid w:val="00167FE0"/>
    <w:pPr>
      <w:keepNext w:val="0"/>
      <w:keepLines w:val="0"/>
      <w:pBdr>
        <w:bottom w:val="thinThickSmallGap" w:sz="12" w:space="1" w:color="943634"/>
      </w:pBdr>
      <w:spacing w:before="400" w:after="200" w:line="252" w:lineRule="auto"/>
      <w:jc w:val="center"/>
      <w:outlineLvl w:val="9"/>
    </w:pPr>
    <w:rPr>
      <w:rFonts w:ascii="Calibri" w:eastAsia="HGGothicM" w:hAnsi="Calibri"/>
      <w:b w:val="0"/>
      <w:bCs w:val="0"/>
      <w:caps/>
      <w:color w:val="632423"/>
      <w:spacing w:val="20"/>
      <w:lang w:val="en-GB" w:bidi="en-US"/>
    </w:rPr>
  </w:style>
  <w:style w:type="paragraph" w:styleId="BodyText">
    <w:name w:val="Body Text"/>
    <w:basedOn w:val="Normal"/>
    <w:link w:val="BodyTextChar1"/>
    <w:rsid w:val="00167FE0"/>
    <w:pPr>
      <w:spacing w:before="240" w:after="240" w:line="240" w:lineRule="auto"/>
      <w:jc w:val="both"/>
    </w:pPr>
    <w:rPr>
      <w:rFonts w:ascii="Times New Roman" w:eastAsia="Times New Roman" w:hAnsi="Times New Roman"/>
      <w:sz w:val="20"/>
      <w:szCs w:val="24"/>
      <w:lang w:eastAsia="el-GR"/>
    </w:rPr>
  </w:style>
  <w:style w:type="character" w:customStyle="1" w:styleId="BodyTextChar1">
    <w:name w:val="Body Text Char1"/>
    <w:link w:val="BodyText"/>
    <w:rsid w:val="00167FE0"/>
    <w:rPr>
      <w:rFonts w:ascii="Times New Roman" w:eastAsia="Times New Roman" w:hAnsi="Times New Roman"/>
      <w:szCs w:val="24"/>
      <w:lang w:val="el-GR" w:eastAsia="el-GR"/>
    </w:rPr>
  </w:style>
  <w:style w:type="character" w:customStyle="1" w:styleId="BodyTextChar">
    <w:name w:val="Body Text Char"/>
    <w:uiPriority w:val="99"/>
    <w:semiHidden/>
    <w:rsid w:val="00167FE0"/>
    <w:rPr>
      <w:sz w:val="22"/>
      <w:szCs w:val="22"/>
      <w:lang w:val="el-GR"/>
    </w:rPr>
  </w:style>
  <w:style w:type="table" w:styleId="LightList-Accent2">
    <w:name w:val="Light List Accent 2"/>
    <w:basedOn w:val="TableNormal"/>
    <w:uiPriority w:val="61"/>
    <w:rsid w:val="00167FE0"/>
    <w:rPr>
      <w:rFonts w:eastAsia="HGGothicM"/>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pPr>
        <w:spacing w:before="0" w:after="0" w:line="240" w:lineRule="auto"/>
      </w:pPr>
      <w:rPr>
        <w:b/>
        <w:bCs/>
        <w:color w:val="FFFFFF"/>
      </w:rPr>
      <w:tblPr/>
      <w:tcPr>
        <w:shd w:val="clear" w:color="auto" w:fill="009DD9"/>
      </w:tcPr>
    </w:tblStylePr>
    <w:tblStylePr w:type="lastRow">
      <w:pPr>
        <w:spacing w:before="0" w:after="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table" w:customStyle="1" w:styleId="LightShading1">
    <w:name w:val="Light Shading1"/>
    <w:basedOn w:val="TableNormal"/>
    <w:uiPriority w:val="60"/>
    <w:rsid w:val="00167FE0"/>
    <w:rPr>
      <w:rFonts w:ascii="Cambria" w:eastAsia="Cambria" w:hAnsi="Cambria"/>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71"/>
    <w:rsid w:val="00167FE0"/>
    <w:rPr>
      <w:rFonts w:eastAsia="HGGothicM"/>
      <w:sz w:val="22"/>
      <w:szCs w:val="22"/>
      <w:lang w:val="en-GB"/>
    </w:rPr>
  </w:style>
  <w:style w:type="table" w:customStyle="1" w:styleId="MediumShading1-Accent11">
    <w:name w:val="Medium Shading 1 - Accent 11"/>
    <w:basedOn w:val="TableNormal"/>
    <w:uiPriority w:val="68"/>
    <w:rsid w:val="00D17AF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FootnoteText">
    <w:name w:val="footnote text"/>
    <w:basedOn w:val="Normal"/>
    <w:link w:val="FootnoteTextChar"/>
    <w:uiPriority w:val="99"/>
    <w:unhideWhenUsed/>
    <w:rsid w:val="00B8780E"/>
    <w:rPr>
      <w:sz w:val="24"/>
      <w:szCs w:val="24"/>
      <w:lang w:eastAsia="x-none"/>
    </w:rPr>
  </w:style>
  <w:style w:type="character" w:customStyle="1" w:styleId="FootnoteTextChar">
    <w:name w:val="Footnote Text Char"/>
    <w:link w:val="FootnoteText"/>
    <w:uiPriority w:val="99"/>
    <w:rsid w:val="00B8780E"/>
    <w:rPr>
      <w:sz w:val="24"/>
      <w:szCs w:val="24"/>
      <w:lang w:val="el-GR"/>
    </w:rPr>
  </w:style>
  <w:style w:type="character" w:styleId="FootnoteReference">
    <w:name w:val="footnote reference"/>
    <w:uiPriority w:val="99"/>
    <w:unhideWhenUsed/>
    <w:rsid w:val="00B8780E"/>
    <w:rPr>
      <w:vertAlign w:val="superscript"/>
    </w:rPr>
  </w:style>
  <w:style w:type="character" w:styleId="PageNumber">
    <w:name w:val="page number"/>
    <w:uiPriority w:val="99"/>
    <w:semiHidden/>
    <w:unhideWhenUsed/>
    <w:rsid w:val="00B8780E"/>
  </w:style>
  <w:style w:type="numbering" w:customStyle="1" w:styleId="NoList1">
    <w:name w:val="No List1"/>
    <w:next w:val="NoList"/>
    <w:uiPriority w:val="99"/>
    <w:semiHidden/>
    <w:unhideWhenUsed/>
    <w:rsid w:val="003A5991"/>
  </w:style>
  <w:style w:type="paragraph" w:customStyle="1" w:styleId="ColorfulList-Accent11">
    <w:name w:val="Colorful List - Accent 11"/>
    <w:basedOn w:val="Normal"/>
    <w:uiPriority w:val="34"/>
    <w:qFormat/>
    <w:rsid w:val="003A5991"/>
    <w:pPr>
      <w:spacing w:line="252" w:lineRule="auto"/>
      <w:ind w:left="720"/>
      <w:contextualSpacing/>
    </w:pPr>
    <w:rPr>
      <w:rFonts w:ascii="Cambria" w:eastAsia="SimSun" w:hAnsi="Cambria"/>
      <w:lang w:val="en-GB"/>
    </w:rPr>
  </w:style>
  <w:style w:type="table" w:styleId="MediumList2-Accent1">
    <w:name w:val="Medium List 2 Accent 1"/>
    <w:basedOn w:val="TableNormal"/>
    <w:uiPriority w:val="61"/>
    <w:rsid w:val="003A5991"/>
    <w:rPr>
      <w:rFonts w:ascii="Cambria" w:eastAsia="SimSun" w:hAnsi="Cambria"/>
      <w:lang w:val="fr-BE" w:eastAsia="fr-B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basedOn w:val="TableNormal"/>
    <w:next w:val="MediumList2-Accent1"/>
    <w:uiPriority w:val="61"/>
    <w:rsid w:val="003A5991"/>
    <w:rPr>
      <w:rFonts w:ascii="Cambria" w:eastAsia="SimSun" w:hAnsi="Cambria"/>
      <w:lang w:val="fr-BE" w:eastAsia="fr-B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Grid3-Accent5">
    <w:name w:val="Medium Grid 3 Accent 5"/>
    <w:basedOn w:val="TableNormal"/>
    <w:uiPriority w:val="60"/>
    <w:rsid w:val="003A5991"/>
    <w:rPr>
      <w:color w:val="31849B"/>
      <w:lang w:val="fr-BE" w:eastAsia="fr-B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6">
    <w:name w:val="Light List Accent 6"/>
    <w:basedOn w:val="TableNormal"/>
    <w:uiPriority w:val="66"/>
    <w:rsid w:val="003A5991"/>
    <w:rPr>
      <w:rFonts w:ascii="Cambria" w:eastAsia="SimSun" w:hAnsi="Cambria"/>
      <w:color w:val="000000"/>
      <w:lang w:val="fr-BE" w:eastAsia="fr-B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IntenseQuote1">
    <w:name w:val="Intense Quote1"/>
    <w:basedOn w:val="TableNormal"/>
    <w:uiPriority w:val="60"/>
    <w:qFormat/>
    <w:rsid w:val="003A5991"/>
    <w:rPr>
      <w:color w:val="365F91"/>
      <w:lang w:val="fr-BE" w:eastAsia="fr-B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DarkList-Accent1">
    <w:name w:val="Dark List Accent 1"/>
    <w:basedOn w:val="TableNormal"/>
    <w:uiPriority w:val="65"/>
    <w:rsid w:val="003A5991"/>
    <w:rPr>
      <w:color w:val="000000"/>
      <w:lang w:val="fr-BE" w:eastAsia="fr-BE"/>
    </w:rPr>
    <w:tblPr>
      <w:tblStyleRowBandSize w:val="1"/>
      <w:tblStyleColBandSize w:val="1"/>
      <w:tblBorders>
        <w:top w:val="single" w:sz="8" w:space="0" w:color="4F81BD"/>
        <w:bottom w:val="single" w:sz="8" w:space="0" w:color="4F81BD"/>
      </w:tblBorders>
    </w:tblPr>
    <w:tblStylePr w:type="firstRow">
      <w:rPr>
        <w:rFonts w:ascii="New York" w:eastAsia="New York" w:hAnsi="New Yor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MediumGrid21">
    <w:name w:val="Medium Grid 21"/>
    <w:link w:val="MediumGrid2Char"/>
    <w:uiPriority w:val="1"/>
    <w:qFormat/>
    <w:rsid w:val="003A5991"/>
    <w:rPr>
      <w:rFonts w:eastAsia="SimSun"/>
      <w:sz w:val="22"/>
      <w:szCs w:val="22"/>
      <w:lang w:eastAsia="ja-JP"/>
    </w:rPr>
  </w:style>
  <w:style w:type="character" w:customStyle="1" w:styleId="MediumGrid2Char">
    <w:name w:val="Medium Grid 2 Char"/>
    <w:link w:val="MediumGrid21"/>
    <w:uiPriority w:val="1"/>
    <w:rsid w:val="003A5991"/>
    <w:rPr>
      <w:rFonts w:eastAsia="SimSun"/>
      <w:sz w:val="22"/>
      <w:szCs w:val="22"/>
      <w:lang w:val="en-US" w:eastAsia="ja-JP" w:bidi="ar-SA"/>
    </w:rPr>
  </w:style>
  <w:style w:type="table" w:customStyle="1" w:styleId="TableGrid1">
    <w:name w:val="Table Grid1"/>
    <w:basedOn w:val="TableNormal"/>
    <w:next w:val="TableGrid"/>
    <w:uiPriority w:val="59"/>
    <w:rsid w:val="003A5991"/>
    <w:rPr>
      <w:rFonts w:eastAsia="HGGothicM"/>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Grid-Accent11">
    <w:name w:val="Colorful Grid - Accent 11"/>
    <w:basedOn w:val="Normal"/>
    <w:next w:val="Normal"/>
    <w:link w:val="ColorfulGrid-Accent1Char"/>
    <w:uiPriority w:val="29"/>
    <w:qFormat/>
    <w:rsid w:val="003A5991"/>
    <w:pPr>
      <w:spacing w:line="252" w:lineRule="auto"/>
    </w:pPr>
    <w:rPr>
      <w:rFonts w:eastAsia="HGGothicM"/>
      <w:i/>
      <w:iCs/>
      <w:lang w:val="en-GB"/>
    </w:rPr>
  </w:style>
  <w:style w:type="character" w:customStyle="1" w:styleId="ColorfulGrid-Accent1Char">
    <w:name w:val="Colorful Grid - Accent 1 Char"/>
    <w:link w:val="ColorfulGrid-Accent11"/>
    <w:uiPriority w:val="29"/>
    <w:rsid w:val="003A5991"/>
    <w:rPr>
      <w:rFonts w:eastAsia="HGGothicM"/>
      <w:i/>
      <w:iCs/>
      <w:sz w:val="22"/>
      <w:szCs w:val="22"/>
      <w:lang w:val="en-GB" w:eastAsia="en-US"/>
    </w:rPr>
  </w:style>
  <w:style w:type="paragraph" w:customStyle="1" w:styleId="LightShading-Accent21">
    <w:name w:val="Light Shading - Accent 21"/>
    <w:basedOn w:val="Normal"/>
    <w:next w:val="Normal"/>
    <w:link w:val="LightShading-Accent2Char"/>
    <w:uiPriority w:val="30"/>
    <w:qFormat/>
    <w:rsid w:val="003A5991"/>
    <w:pPr>
      <w:pBdr>
        <w:top w:val="dotted" w:sz="2" w:space="10" w:color="004E6C"/>
        <w:bottom w:val="dotted" w:sz="2" w:space="4" w:color="004E6C"/>
      </w:pBdr>
      <w:spacing w:before="160" w:line="300" w:lineRule="auto"/>
      <w:ind w:left="1440" w:right="1440"/>
    </w:pPr>
    <w:rPr>
      <w:rFonts w:eastAsia="HGGothicM"/>
      <w:caps/>
      <w:color w:val="004D6C"/>
      <w:spacing w:val="5"/>
      <w:sz w:val="20"/>
      <w:szCs w:val="20"/>
      <w:lang w:val="en-GB"/>
    </w:rPr>
  </w:style>
  <w:style w:type="character" w:customStyle="1" w:styleId="LightShading-Accent2Char">
    <w:name w:val="Light Shading - Accent 2 Char"/>
    <w:link w:val="LightShading-Accent21"/>
    <w:uiPriority w:val="30"/>
    <w:rsid w:val="003A5991"/>
    <w:rPr>
      <w:rFonts w:eastAsia="HGGothicM"/>
      <w:caps/>
      <w:color w:val="004D6C"/>
      <w:spacing w:val="5"/>
      <w:lang w:val="en-GB" w:eastAsia="en-US"/>
    </w:rPr>
  </w:style>
  <w:style w:type="character" w:customStyle="1" w:styleId="SubtleEmphasis1">
    <w:name w:val="Subtle Emphasis1"/>
    <w:uiPriority w:val="19"/>
    <w:qFormat/>
    <w:rsid w:val="003A5991"/>
    <w:rPr>
      <w:i/>
      <w:iCs/>
    </w:rPr>
  </w:style>
  <w:style w:type="character" w:customStyle="1" w:styleId="IntenseEmphasis1">
    <w:name w:val="Intense Emphasis1"/>
    <w:uiPriority w:val="21"/>
    <w:qFormat/>
    <w:rsid w:val="003A5991"/>
    <w:rPr>
      <w:i/>
      <w:iCs/>
      <w:caps/>
      <w:spacing w:val="10"/>
      <w:sz w:val="20"/>
      <w:szCs w:val="20"/>
    </w:rPr>
  </w:style>
  <w:style w:type="character" w:customStyle="1" w:styleId="SubtleReference1">
    <w:name w:val="Subtle Reference1"/>
    <w:uiPriority w:val="31"/>
    <w:qFormat/>
    <w:rsid w:val="003A5991"/>
    <w:rPr>
      <w:rFonts w:ascii="Cambria" w:eastAsia="HGMinchoB" w:hAnsi="Cambria" w:cs="Times New Roman"/>
      <w:i/>
      <w:iCs/>
      <w:color w:val="004D6C"/>
    </w:rPr>
  </w:style>
  <w:style w:type="character" w:customStyle="1" w:styleId="IntenseReference1">
    <w:name w:val="Intense Reference1"/>
    <w:uiPriority w:val="32"/>
    <w:qFormat/>
    <w:rsid w:val="003A5991"/>
    <w:rPr>
      <w:rFonts w:ascii="Cambria" w:eastAsia="HGMinchoB" w:hAnsi="Cambria" w:cs="Times New Roman"/>
      <w:b/>
      <w:bCs/>
      <w:i/>
      <w:iCs/>
      <w:color w:val="004D6C"/>
    </w:rPr>
  </w:style>
  <w:style w:type="character" w:customStyle="1" w:styleId="BookTitle1">
    <w:name w:val="Book Title1"/>
    <w:uiPriority w:val="33"/>
    <w:qFormat/>
    <w:rsid w:val="003A5991"/>
    <w:rPr>
      <w:caps/>
      <w:color w:val="004D6C"/>
      <w:spacing w:val="5"/>
      <w:u w:color="004D6C"/>
    </w:rPr>
  </w:style>
  <w:style w:type="paragraph" w:customStyle="1" w:styleId="TOCHeading1">
    <w:name w:val="TOC Heading1"/>
    <w:basedOn w:val="Heading1"/>
    <w:next w:val="Normal"/>
    <w:uiPriority w:val="39"/>
    <w:qFormat/>
    <w:rsid w:val="003A5991"/>
    <w:pPr>
      <w:keepNext w:val="0"/>
      <w:keepLines w:val="0"/>
      <w:pBdr>
        <w:bottom w:val="thinThickSmallGap" w:sz="12" w:space="1" w:color="943634"/>
      </w:pBdr>
      <w:spacing w:before="400" w:after="200" w:line="252" w:lineRule="auto"/>
      <w:jc w:val="center"/>
      <w:outlineLvl w:val="9"/>
    </w:pPr>
    <w:rPr>
      <w:rFonts w:ascii="Calibri" w:eastAsia="HGGothicM" w:hAnsi="Calibri"/>
      <w:b w:val="0"/>
      <w:bCs w:val="0"/>
      <w:caps/>
      <w:color w:val="632423"/>
      <w:spacing w:val="20"/>
      <w:lang w:val="en-GB" w:bidi="en-US"/>
    </w:rPr>
  </w:style>
  <w:style w:type="table" w:styleId="DarkList-Accent2">
    <w:name w:val="Dark List Accent 2"/>
    <w:basedOn w:val="TableNormal"/>
    <w:uiPriority w:val="61"/>
    <w:rsid w:val="003A5991"/>
    <w:rPr>
      <w:rFonts w:eastAsia="HGGothicM"/>
      <w:lang w:val="fr-BE" w:eastAsia="fr-BE"/>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pPr>
        <w:spacing w:before="0" w:after="0" w:line="240" w:lineRule="auto"/>
      </w:pPr>
      <w:rPr>
        <w:b/>
        <w:bCs/>
        <w:color w:val="FFFFFF"/>
      </w:rPr>
      <w:tblPr/>
      <w:tcPr>
        <w:shd w:val="clear" w:color="auto" w:fill="009DD9"/>
      </w:tcPr>
    </w:tblStylePr>
    <w:tblStylePr w:type="lastRow">
      <w:pPr>
        <w:spacing w:before="0" w:after="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table" w:customStyle="1" w:styleId="MediumGrid31">
    <w:name w:val="Medium Grid 31"/>
    <w:basedOn w:val="TableNormal"/>
    <w:uiPriority w:val="60"/>
    <w:rsid w:val="003A5991"/>
    <w:rPr>
      <w:rFonts w:ascii="Cambria" w:eastAsia="Cambria" w:hAnsi="Cambria"/>
      <w:color w:val="000000"/>
      <w:lang w:val="en-GB" w:eastAsia="fr-B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lorfulShading-Accent11">
    <w:name w:val="Colorful Shading - Accent 11"/>
    <w:hidden/>
    <w:uiPriority w:val="99"/>
    <w:rsid w:val="003A5991"/>
    <w:rPr>
      <w:rFonts w:eastAsia="HGGothicM"/>
      <w:sz w:val="22"/>
      <w:szCs w:val="22"/>
      <w:lang w:val="en-GB"/>
    </w:rPr>
  </w:style>
  <w:style w:type="table" w:styleId="MediumGrid2-Accent1">
    <w:name w:val="Medium Grid 2 Accent 1"/>
    <w:basedOn w:val="TableNormal"/>
    <w:uiPriority w:val="68"/>
    <w:rsid w:val="003A5991"/>
    <w:rPr>
      <w:lang w:val="fr-BE" w:eastAsia="fr-B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PlainText">
    <w:name w:val="Plain Text"/>
    <w:basedOn w:val="Normal"/>
    <w:link w:val="PlainTextChar"/>
    <w:uiPriority w:val="99"/>
    <w:semiHidden/>
    <w:unhideWhenUsed/>
    <w:rsid w:val="002F25F8"/>
    <w:pPr>
      <w:spacing w:after="0" w:line="240" w:lineRule="auto"/>
    </w:pPr>
    <w:rPr>
      <w:szCs w:val="21"/>
      <w:lang w:val="fr-BE"/>
    </w:rPr>
  </w:style>
  <w:style w:type="character" w:customStyle="1" w:styleId="PlainTextChar">
    <w:name w:val="Plain Text Char"/>
    <w:link w:val="PlainText"/>
    <w:uiPriority w:val="99"/>
    <w:semiHidden/>
    <w:rsid w:val="002F25F8"/>
    <w:rPr>
      <w:sz w:val="22"/>
      <w:szCs w:val="21"/>
      <w:lang w:eastAsia="en-US"/>
    </w:rPr>
  </w:style>
  <w:style w:type="table" w:customStyle="1" w:styleId="ListTable3-Accent61">
    <w:name w:val="List Table 3 - Accent 61"/>
    <w:basedOn w:val="TableNormal"/>
    <w:uiPriority w:val="48"/>
    <w:rsid w:val="001F57E3"/>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4-Accent61">
    <w:name w:val="Grid Table 4 - Accent 61"/>
    <w:basedOn w:val="TableNormal"/>
    <w:uiPriority w:val="49"/>
    <w:rsid w:val="001F57E3"/>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jlqj4b">
    <w:name w:val="jlqj4b"/>
    <w:basedOn w:val="DefaultParagraphFont"/>
    <w:rsid w:val="003F56A4"/>
  </w:style>
  <w:style w:type="character" w:customStyle="1" w:styleId="UnresolvedMention1">
    <w:name w:val="Unresolved Mention1"/>
    <w:basedOn w:val="DefaultParagraphFont"/>
    <w:uiPriority w:val="99"/>
    <w:semiHidden/>
    <w:unhideWhenUsed/>
    <w:rsid w:val="00042154"/>
    <w:rPr>
      <w:color w:val="605E5C"/>
      <w:shd w:val="clear" w:color="auto" w:fill="E1DFDD"/>
    </w:rPr>
  </w:style>
  <w:style w:type="character" w:styleId="FollowedHyperlink">
    <w:name w:val="FollowedHyperlink"/>
    <w:basedOn w:val="DefaultParagraphFont"/>
    <w:uiPriority w:val="99"/>
    <w:semiHidden/>
    <w:unhideWhenUsed/>
    <w:rsid w:val="007F2680"/>
    <w:rPr>
      <w:color w:val="954F72" w:themeColor="followedHyperlink"/>
      <w:u w:val="single"/>
    </w:rPr>
  </w:style>
  <w:style w:type="paragraph" w:customStyle="1" w:styleId="gmail-m-6188846411429659449msolistparagraph">
    <w:name w:val="gmail-m_-6188846411429659449msolistparagraph"/>
    <w:basedOn w:val="Normal"/>
    <w:rsid w:val="004C6AD8"/>
    <w:pPr>
      <w:spacing w:before="100" w:beforeAutospacing="1" w:after="100" w:afterAutospacing="1" w:line="240" w:lineRule="auto"/>
    </w:pPr>
    <w:rPr>
      <w:rFonts w:eastAsiaTheme="minorHAnsi" w:cs="Calibri"/>
      <w:lang w:val="en-GB" w:eastAsia="en-GB"/>
    </w:rPr>
  </w:style>
  <w:style w:type="paragraph" w:styleId="DocumentMap">
    <w:name w:val="Document Map"/>
    <w:basedOn w:val="Normal"/>
    <w:link w:val="DocumentMapChar"/>
    <w:uiPriority w:val="99"/>
    <w:unhideWhenUsed/>
    <w:rsid w:val="003738F2"/>
    <w:pPr>
      <w:spacing w:after="0" w:line="240" w:lineRule="auto"/>
    </w:pPr>
    <w:rPr>
      <w:rFonts w:ascii="Tahoma" w:eastAsiaTheme="minorEastAsia" w:hAnsi="Tahoma" w:cs="Tahoma"/>
      <w:sz w:val="16"/>
      <w:szCs w:val="16"/>
      <w:lang w:eastAsia="el-GR"/>
    </w:rPr>
  </w:style>
  <w:style w:type="character" w:customStyle="1" w:styleId="DocumentMapChar">
    <w:name w:val="Document Map Char"/>
    <w:basedOn w:val="DefaultParagraphFont"/>
    <w:link w:val="DocumentMap"/>
    <w:uiPriority w:val="99"/>
    <w:rsid w:val="003738F2"/>
    <w:rPr>
      <w:rFonts w:ascii="Tahoma" w:eastAsiaTheme="minorEastAsia" w:hAnsi="Tahoma" w:cs="Tahoma"/>
      <w:sz w:val="16"/>
      <w:szCs w:val="16"/>
      <w:lang w:val="el-GR" w:eastAsia="el-GR"/>
    </w:rPr>
  </w:style>
  <w:style w:type="table" w:styleId="PlainTable5">
    <w:name w:val="Plain Table 5"/>
    <w:basedOn w:val="TableNormal"/>
    <w:uiPriority w:val="45"/>
    <w:rsid w:val="00264593"/>
    <w:rPr>
      <w:rFonts w:asciiTheme="minorHAnsi" w:eastAsiaTheme="minorHAnsi" w:hAnsiTheme="minorHAnsi" w:cstheme="minorBidi"/>
      <w:sz w:val="22"/>
      <w:szCs w:val="22"/>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1A12E5"/>
    <w:rPr>
      <w:color w:val="605E5C"/>
      <w:shd w:val="clear" w:color="auto" w:fill="E1DFDD"/>
    </w:rPr>
  </w:style>
  <w:style w:type="character" w:customStyle="1" w:styleId="rynqvb">
    <w:name w:val="rynqvb"/>
    <w:basedOn w:val="DefaultParagraphFont"/>
    <w:rsid w:val="00A922D2"/>
  </w:style>
  <w:style w:type="paragraph" w:styleId="Caption">
    <w:name w:val="caption"/>
    <w:basedOn w:val="Normal"/>
    <w:next w:val="Normal"/>
    <w:uiPriority w:val="35"/>
    <w:unhideWhenUsed/>
    <w:qFormat/>
    <w:rsid w:val="00465EF9"/>
    <w:pPr>
      <w:spacing w:line="240" w:lineRule="auto"/>
    </w:pPr>
    <w:rPr>
      <w:i/>
      <w:iCs/>
      <w:color w:val="44546A" w:themeColor="text2"/>
      <w:sz w:val="18"/>
      <w:szCs w:val="18"/>
    </w:rPr>
  </w:style>
  <w:style w:type="character" w:customStyle="1" w:styleId="cf01">
    <w:name w:val="cf01"/>
    <w:basedOn w:val="DefaultParagraphFont"/>
    <w:rsid w:val="00465EF9"/>
    <w:rPr>
      <w:rFonts w:ascii="Segoe UI" w:hAnsi="Segoe UI" w:cs="Segoe UI" w:hint="default"/>
      <w:sz w:val="18"/>
      <w:szCs w:val="18"/>
    </w:rPr>
  </w:style>
  <w:style w:type="paragraph" w:customStyle="1" w:styleId="BodyText1">
    <w:name w:val="Body Text 1"/>
    <w:basedOn w:val="BodyText"/>
    <w:link w:val="BodyText1Char"/>
    <w:uiPriority w:val="4"/>
    <w:qFormat/>
    <w:rsid w:val="00E34795"/>
    <w:pPr>
      <w:suppressAutoHyphens/>
      <w:spacing w:before="90" w:after="150" w:line="264" w:lineRule="auto"/>
    </w:pPr>
    <w:rPr>
      <w:rFonts w:eastAsiaTheme="minorHAnsi" w:cstheme="minorBidi"/>
      <w:sz w:val="23"/>
      <w:szCs w:val="22"/>
      <w:lang w:val="en-GB" w:eastAsia="en-US"/>
    </w:rPr>
  </w:style>
  <w:style w:type="character" w:customStyle="1" w:styleId="BodyText1Char">
    <w:name w:val="Body Text 1 Char"/>
    <w:basedOn w:val="BodyTextChar"/>
    <w:link w:val="BodyText1"/>
    <w:uiPriority w:val="4"/>
    <w:rsid w:val="00E34795"/>
    <w:rPr>
      <w:rFonts w:ascii="Times New Roman" w:eastAsiaTheme="minorHAnsi" w:hAnsi="Times New Roman" w:cstheme="minorBidi"/>
      <w:sz w:val="23"/>
      <w:szCs w:val="22"/>
      <w:lang w:val="en-GB"/>
    </w:rPr>
  </w:style>
  <w:style w:type="paragraph" w:styleId="ListBullet">
    <w:name w:val="List Bullet"/>
    <w:basedOn w:val="Normal"/>
    <w:uiPriority w:val="99"/>
    <w:unhideWhenUsed/>
    <w:rsid w:val="00FC5CF5"/>
    <w:pPr>
      <w:numPr>
        <w:numId w:val="27"/>
      </w:numPr>
      <w:tabs>
        <w:tab w:val="clear" w:pos="360"/>
      </w:tabs>
      <w:spacing w:after="100"/>
      <w:ind w:left="0" w:firstLine="0"/>
      <w:contextualSpacing/>
    </w:pPr>
    <w:rPr>
      <w:rFonts w:ascii="Aptos" w:eastAsiaTheme="minorEastAsia" w:hAnsi="Aptos" w:cstheme="minorBid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7604">
      <w:bodyDiv w:val="1"/>
      <w:marLeft w:val="0"/>
      <w:marRight w:val="0"/>
      <w:marTop w:val="0"/>
      <w:marBottom w:val="0"/>
      <w:divBdr>
        <w:top w:val="none" w:sz="0" w:space="0" w:color="auto"/>
        <w:left w:val="none" w:sz="0" w:space="0" w:color="auto"/>
        <w:bottom w:val="none" w:sz="0" w:space="0" w:color="auto"/>
        <w:right w:val="none" w:sz="0" w:space="0" w:color="auto"/>
      </w:divBdr>
    </w:div>
    <w:div w:id="44526695">
      <w:bodyDiv w:val="1"/>
      <w:marLeft w:val="0"/>
      <w:marRight w:val="0"/>
      <w:marTop w:val="0"/>
      <w:marBottom w:val="0"/>
      <w:divBdr>
        <w:top w:val="none" w:sz="0" w:space="0" w:color="auto"/>
        <w:left w:val="none" w:sz="0" w:space="0" w:color="auto"/>
        <w:bottom w:val="none" w:sz="0" w:space="0" w:color="auto"/>
        <w:right w:val="none" w:sz="0" w:space="0" w:color="auto"/>
      </w:divBdr>
    </w:div>
    <w:div w:id="46687431">
      <w:bodyDiv w:val="1"/>
      <w:marLeft w:val="0"/>
      <w:marRight w:val="0"/>
      <w:marTop w:val="0"/>
      <w:marBottom w:val="0"/>
      <w:divBdr>
        <w:top w:val="none" w:sz="0" w:space="0" w:color="auto"/>
        <w:left w:val="none" w:sz="0" w:space="0" w:color="auto"/>
        <w:bottom w:val="none" w:sz="0" w:space="0" w:color="auto"/>
        <w:right w:val="none" w:sz="0" w:space="0" w:color="auto"/>
      </w:divBdr>
    </w:div>
    <w:div w:id="59712328">
      <w:bodyDiv w:val="1"/>
      <w:marLeft w:val="0"/>
      <w:marRight w:val="0"/>
      <w:marTop w:val="0"/>
      <w:marBottom w:val="0"/>
      <w:divBdr>
        <w:top w:val="none" w:sz="0" w:space="0" w:color="auto"/>
        <w:left w:val="none" w:sz="0" w:space="0" w:color="auto"/>
        <w:bottom w:val="none" w:sz="0" w:space="0" w:color="auto"/>
        <w:right w:val="none" w:sz="0" w:space="0" w:color="auto"/>
      </w:divBdr>
    </w:div>
    <w:div w:id="61024047">
      <w:bodyDiv w:val="1"/>
      <w:marLeft w:val="0"/>
      <w:marRight w:val="0"/>
      <w:marTop w:val="0"/>
      <w:marBottom w:val="0"/>
      <w:divBdr>
        <w:top w:val="none" w:sz="0" w:space="0" w:color="auto"/>
        <w:left w:val="none" w:sz="0" w:space="0" w:color="auto"/>
        <w:bottom w:val="none" w:sz="0" w:space="0" w:color="auto"/>
        <w:right w:val="none" w:sz="0" w:space="0" w:color="auto"/>
      </w:divBdr>
    </w:div>
    <w:div w:id="81411856">
      <w:bodyDiv w:val="1"/>
      <w:marLeft w:val="0"/>
      <w:marRight w:val="0"/>
      <w:marTop w:val="0"/>
      <w:marBottom w:val="0"/>
      <w:divBdr>
        <w:top w:val="none" w:sz="0" w:space="0" w:color="auto"/>
        <w:left w:val="none" w:sz="0" w:space="0" w:color="auto"/>
        <w:bottom w:val="none" w:sz="0" w:space="0" w:color="auto"/>
        <w:right w:val="none" w:sz="0" w:space="0" w:color="auto"/>
      </w:divBdr>
    </w:div>
    <w:div w:id="81993269">
      <w:bodyDiv w:val="1"/>
      <w:marLeft w:val="0"/>
      <w:marRight w:val="0"/>
      <w:marTop w:val="0"/>
      <w:marBottom w:val="0"/>
      <w:divBdr>
        <w:top w:val="none" w:sz="0" w:space="0" w:color="auto"/>
        <w:left w:val="none" w:sz="0" w:space="0" w:color="auto"/>
        <w:bottom w:val="none" w:sz="0" w:space="0" w:color="auto"/>
        <w:right w:val="none" w:sz="0" w:space="0" w:color="auto"/>
      </w:divBdr>
    </w:div>
    <w:div w:id="82342970">
      <w:bodyDiv w:val="1"/>
      <w:marLeft w:val="0"/>
      <w:marRight w:val="0"/>
      <w:marTop w:val="0"/>
      <w:marBottom w:val="0"/>
      <w:divBdr>
        <w:top w:val="none" w:sz="0" w:space="0" w:color="auto"/>
        <w:left w:val="none" w:sz="0" w:space="0" w:color="auto"/>
        <w:bottom w:val="none" w:sz="0" w:space="0" w:color="auto"/>
        <w:right w:val="none" w:sz="0" w:space="0" w:color="auto"/>
      </w:divBdr>
    </w:div>
    <w:div w:id="114518814">
      <w:bodyDiv w:val="1"/>
      <w:marLeft w:val="0"/>
      <w:marRight w:val="0"/>
      <w:marTop w:val="0"/>
      <w:marBottom w:val="0"/>
      <w:divBdr>
        <w:top w:val="none" w:sz="0" w:space="0" w:color="auto"/>
        <w:left w:val="none" w:sz="0" w:space="0" w:color="auto"/>
        <w:bottom w:val="none" w:sz="0" w:space="0" w:color="auto"/>
        <w:right w:val="none" w:sz="0" w:space="0" w:color="auto"/>
      </w:divBdr>
    </w:div>
    <w:div w:id="156770814">
      <w:bodyDiv w:val="1"/>
      <w:marLeft w:val="0"/>
      <w:marRight w:val="0"/>
      <w:marTop w:val="0"/>
      <w:marBottom w:val="0"/>
      <w:divBdr>
        <w:top w:val="none" w:sz="0" w:space="0" w:color="auto"/>
        <w:left w:val="none" w:sz="0" w:space="0" w:color="auto"/>
        <w:bottom w:val="none" w:sz="0" w:space="0" w:color="auto"/>
        <w:right w:val="none" w:sz="0" w:space="0" w:color="auto"/>
      </w:divBdr>
    </w:div>
    <w:div w:id="177739103">
      <w:bodyDiv w:val="1"/>
      <w:marLeft w:val="0"/>
      <w:marRight w:val="0"/>
      <w:marTop w:val="0"/>
      <w:marBottom w:val="0"/>
      <w:divBdr>
        <w:top w:val="none" w:sz="0" w:space="0" w:color="auto"/>
        <w:left w:val="none" w:sz="0" w:space="0" w:color="auto"/>
        <w:bottom w:val="none" w:sz="0" w:space="0" w:color="auto"/>
        <w:right w:val="none" w:sz="0" w:space="0" w:color="auto"/>
      </w:divBdr>
    </w:div>
    <w:div w:id="213665903">
      <w:bodyDiv w:val="1"/>
      <w:marLeft w:val="0"/>
      <w:marRight w:val="0"/>
      <w:marTop w:val="0"/>
      <w:marBottom w:val="0"/>
      <w:divBdr>
        <w:top w:val="none" w:sz="0" w:space="0" w:color="auto"/>
        <w:left w:val="none" w:sz="0" w:space="0" w:color="auto"/>
        <w:bottom w:val="none" w:sz="0" w:space="0" w:color="auto"/>
        <w:right w:val="none" w:sz="0" w:space="0" w:color="auto"/>
      </w:divBdr>
    </w:div>
    <w:div w:id="217863991">
      <w:bodyDiv w:val="1"/>
      <w:marLeft w:val="0"/>
      <w:marRight w:val="0"/>
      <w:marTop w:val="0"/>
      <w:marBottom w:val="0"/>
      <w:divBdr>
        <w:top w:val="none" w:sz="0" w:space="0" w:color="auto"/>
        <w:left w:val="none" w:sz="0" w:space="0" w:color="auto"/>
        <w:bottom w:val="none" w:sz="0" w:space="0" w:color="auto"/>
        <w:right w:val="none" w:sz="0" w:space="0" w:color="auto"/>
      </w:divBdr>
    </w:div>
    <w:div w:id="240600696">
      <w:bodyDiv w:val="1"/>
      <w:marLeft w:val="0"/>
      <w:marRight w:val="0"/>
      <w:marTop w:val="0"/>
      <w:marBottom w:val="0"/>
      <w:divBdr>
        <w:top w:val="none" w:sz="0" w:space="0" w:color="auto"/>
        <w:left w:val="none" w:sz="0" w:space="0" w:color="auto"/>
        <w:bottom w:val="none" w:sz="0" w:space="0" w:color="auto"/>
        <w:right w:val="none" w:sz="0" w:space="0" w:color="auto"/>
      </w:divBdr>
    </w:div>
    <w:div w:id="240726046">
      <w:bodyDiv w:val="1"/>
      <w:marLeft w:val="0"/>
      <w:marRight w:val="0"/>
      <w:marTop w:val="0"/>
      <w:marBottom w:val="0"/>
      <w:divBdr>
        <w:top w:val="none" w:sz="0" w:space="0" w:color="auto"/>
        <w:left w:val="none" w:sz="0" w:space="0" w:color="auto"/>
        <w:bottom w:val="none" w:sz="0" w:space="0" w:color="auto"/>
        <w:right w:val="none" w:sz="0" w:space="0" w:color="auto"/>
      </w:divBdr>
    </w:div>
    <w:div w:id="265503970">
      <w:bodyDiv w:val="1"/>
      <w:marLeft w:val="0"/>
      <w:marRight w:val="0"/>
      <w:marTop w:val="0"/>
      <w:marBottom w:val="0"/>
      <w:divBdr>
        <w:top w:val="none" w:sz="0" w:space="0" w:color="auto"/>
        <w:left w:val="none" w:sz="0" w:space="0" w:color="auto"/>
        <w:bottom w:val="none" w:sz="0" w:space="0" w:color="auto"/>
        <w:right w:val="none" w:sz="0" w:space="0" w:color="auto"/>
      </w:divBdr>
    </w:div>
    <w:div w:id="272129715">
      <w:bodyDiv w:val="1"/>
      <w:marLeft w:val="0"/>
      <w:marRight w:val="0"/>
      <w:marTop w:val="0"/>
      <w:marBottom w:val="0"/>
      <w:divBdr>
        <w:top w:val="none" w:sz="0" w:space="0" w:color="auto"/>
        <w:left w:val="none" w:sz="0" w:space="0" w:color="auto"/>
        <w:bottom w:val="none" w:sz="0" w:space="0" w:color="auto"/>
        <w:right w:val="none" w:sz="0" w:space="0" w:color="auto"/>
      </w:divBdr>
    </w:div>
    <w:div w:id="272633719">
      <w:bodyDiv w:val="1"/>
      <w:marLeft w:val="0"/>
      <w:marRight w:val="0"/>
      <w:marTop w:val="0"/>
      <w:marBottom w:val="0"/>
      <w:divBdr>
        <w:top w:val="none" w:sz="0" w:space="0" w:color="auto"/>
        <w:left w:val="none" w:sz="0" w:space="0" w:color="auto"/>
        <w:bottom w:val="none" w:sz="0" w:space="0" w:color="auto"/>
        <w:right w:val="none" w:sz="0" w:space="0" w:color="auto"/>
      </w:divBdr>
    </w:div>
    <w:div w:id="282345088">
      <w:bodyDiv w:val="1"/>
      <w:marLeft w:val="0"/>
      <w:marRight w:val="0"/>
      <w:marTop w:val="0"/>
      <w:marBottom w:val="0"/>
      <w:divBdr>
        <w:top w:val="none" w:sz="0" w:space="0" w:color="auto"/>
        <w:left w:val="none" w:sz="0" w:space="0" w:color="auto"/>
        <w:bottom w:val="none" w:sz="0" w:space="0" w:color="auto"/>
        <w:right w:val="none" w:sz="0" w:space="0" w:color="auto"/>
      </w:divBdr>
    </w:div>
    <w:div w:id="317268209">
      <w:bodyDiv w:val="1"/>
      <w:marLeft w:val="0"/>
      <w:marRight w:val="0"/>
      <w:marTop w:val="0"/>
      <w:marBottom w:val="0"/>
      <w:divBdr>
        <w:top w:val="none" w:sz="0" w:space="0" w:color="auto"/>
        <w:left w:val="none" w:sz="0" w:space="0" w:color="auto"/>
        <w:bottom w:val="none" w:sz="0" w:space="0" w:color="auto"/>
        <w:right w:val="none" w:sz="0" w:space="0" w:color="auto"/>
      </w:divBdr>
    </w:div>
    <w:div w:id="342241634">
      <w:bodyDiv w:val="1"/>
      <w:marLeft w:val="0"/>
      <w:marRight w:val="0"/>
      <w:marTop w:val="0"/>
      <w:marBottom w:val="0"/>
      <w:divBdr>
        <w:top w:val="none" w:sz="0" w:space="0" w:color="auto"/>
        <w:left w:val="none" w:sz="0" w:space="0" w:color="auto"/>
        <w:bottom w:val="none" w:sz="0" w:space="0" w:color="auto"/>
        <w:right w:val="none" w:sz="0" w:space="0" w:color="auto"/>
      </w:divBdr>
    </w:div>
    <w:div w:id="389235656">
      <w:bodyDiv w:val="1"/>
      <w:marLeft w:val="0"/>
      <w:marRight w:val="0"/>
      <w:marTop w:val="0"/>
      <w:marBottom w:val="0"/>
      <w:divBdr>
        <w:top w:val="none" w:sz="0" w:space="0" w:color="auto"/>
        <w:left w:val="none" w:sz="0" w:space="0" w:color="auto"/>
        <w:bottom w:val="none" w:sz="0" w:space="0" w:color="auto"/>
        <w:right w:val="none" w:sz="0" w:space="0" w:color="auto"/>
      </w:divBdr>
    </w:div>
    <w:div w:id="392125589">
      <w:bodyDiv w:val="1"/>
      <w:marLeft w:val="0"/>
      <w:marRight w:val="0"/>
      <w:marTop w:val="0"/>
      <w:marBottom w:val="0"/>
      <w:divBdr>
        <w:top w:val="none" w:sz="0" w:space="0" w:color="auto"/>
        <w:left w:val="none" w:sz="0" w:space="0" w:color="auto"/>
        <w:bottom w:val="none" w:sz="0" w:space="0" w:color="auto"/>
        <w:right w:val="none" w:sz="0" w:space="0" w:color="auto"/>
      </w:divBdr>
    </w:div>
    <w:div w:id="405996507">
      <w:bodyDiv w:val="1"/>
      <w:marLeft w:val="0"/>
      <w:marRight w:val="0"/>
      <w:marTop w:val="0"/>
      <w:marBottom w:val="0"/>
      <w:divBdr>
        <w:top w:val="none" w:sz="0" w:space="0" w:color="auto"/>
        <w:left w:val="none" w:sz="0" w:space="0" w:color="auto"/>
        <w:bottom w:val="none" w:sz="0" w:space="0" w:color="auto"/>
        <w:right w:val="none" w:sz="0" w:space="0" w:color="auto"/>
      </w:divBdr>
    </w:div>
    <w:div w:id="407308163">
      <w:bodyDiv w:val="1"/>
      <w:marLeft w:val="0"/>
      <w:marRight w:val="0"/>
      <w:marTop w:val="0"/>
      <w:marBottom w:val="0"/>
      <w:divBdr>
        <w:top w:val="none" w:sz="0" w:space="0" w:color="auto"/>
        <w:left w:val="none" w:sz="0" w:space="0" w:color="auto"/>
        <w:bottom w:val="none" w:sz="0" w:space="0" w:color="auto"/>
        <w:right w:val="none" w:sz="0" w:space="0" w:color="auto"/>
      </w:divBdr>
    </w:div>
    <w:div w:id="412246204">
      <w:bodyDiv w:val="1"/>
      <w:marLeft w:val="0"/>
      <w:marRight w:val="0"/>
      <w:marTop w:val="0"/>
      <w:marBottom w:val="0"/>
      <w:divBdr>
        <w:top w:val="none" w:sz="0" w:space="0" w:color="auto"/>
        <w:left w:val="none" w:sz="0" w:space="0" w:color="auto"/>
        <w:bottom w:val="none" w:sz="0" w:space="0" w:color="auto"/>
        <w:right w:val="none" w:sz="0" w:space="0" w:color="auto"/>
      </w:divBdr>
    </w:div>
    <w:div w:id="419643396">
      <w:bodyDiv w:val="1"/>
      <w:marLeft w:val="0"/>
      <w:marRight w:val="0"/>
      <w:marTop w:val="0"/>
      <w:marBottom w:val="0"/>
      <w:divBdr>
        <w:top w:val="none" w:sz="0" w:space="0" w:color="auto"/>
        <w:left w:val="none" w:sz="0" w:space="0" w:color="auto"/>
        <w:bottom w:val="none" w:sz="0" w:space="0" w:color="auto"/>
        <w:right w:val="none" w:sz="0" w:space="0" w:color="auto"/>
      </w:divBdr>
    </w:div>
    <w:div w:id="421874633">
      <w:bodyDiv w:val="1"/>
      <w:marLeft w:val="0"/>
      <w:marRight w:val="0"/>
      <w:marTop w:val="0"/>
      <w:marBottom w:val="0"/>
      <w:divBdr>
        <w:top w:val="none" w:sz="0" w:space="0" w:color="auto"/>
        <w:left w:val="none" w:sz="0" w:space="0" w:color="auto"/>
        <w:bottom w:val="none" w:sz="0" w:space="0" w:color="auto"/>
        <w:right w:val="none" w:sz="0" w:space="0" w:color="auto"/>
      </w:divBdr>
    </w:div>
    <w:div w:id="435057690">
      <w:bodyDiv w:val="1"/>
      <w:marLeft w:val="0"/>
      <w:marRight w:val="0"/>
      <w:marTop w:val="0"/>
      <w:marBottom w:val="0"/>
      <w:divBdr>
        <w:top w:val="none" w:sz="0" w:space="0" w:color="auto"/>
        <w:left w:val="none" w:sz="0" w:space="0" w:color="auto"/>
        <w:bottom w:val="none" w:sz="0" w:space="0" w:color="auto"/>
        <w:right w:val="none" w:sz="0" w:space="0" w:color="auto"/>
      </w:divBdr>
    </w:div>
    <w:div w:id="483087616">
      <w:bodyDiv w:val="1"/>
      <w:marLeft w:val="0"/>
      <w:marRight w:val="0"/>
      <w:marTop w:val="0"/>
      <w:marBottom w:val="0"/>
      <w:divBdr>
        <w:top w:val="none" w:sz="0" w:space="0" w:color="auto"/>
        <w:left w:val="none" w:sz="0" w:space="0" w:color="auto"/>
        <w:bottom w:val="none" w:sz="0" w:space="0" w:color="auto"/>
        <w:right w:val="none" w:sz="0" w:space="0" w:color="auto"/>
      </w:divBdr>
    </w:div>
    <w:div w:id="501048121">
      <w:bodyDiv w:val="1"/>
      <w:marLeft w:val="0"/>
      <w:marRight w:val="0"/>
      <w:marTop w:val="0"/>
      <w:marBottom w:val="0"/>
      <w:divBdr>
        <w:top w:val="none" w:sz="0" w:space="0" w:color="auto"/>
        <w:left w:val="none" w:sz="0" w:space="0" w:color="auto"/>
        <w:bottom w:val="none" w:sz="0" w:space="0" w:color="auto"/>
        <w:right w:val="none" w:sz="0" w:space="0" w:color="auto"/>
      </w:divBdr>
    </w:div>
    <w:div w:id="510805033">
      <w:bodyDiv w:val="1"/>
      <w:marLeft w:val="0"/>
      <w:marRight w:val="0"/>
      <w:marTop w:val="0"/>
      <w:marBottom w:val="0"/>
      <w:divBdr>
        <w:top w:val="none" w:sz="0" w:space="0" w:color="auto"/>
        <w:left w:val="none" w:sz="0" w:space="0" w:color="auto"/>
        <w:bottom w:val="none" w:sz="0" w:space="0" w:color="auto"/>
        <w:right w:val="none" w:sz="0" w:space="0" w:color="auto"/>
      </w:divBdr>
    </w:div>
    <w:div w:id="531113797">
      <w:bodyDiv w:val="1"/>
      <w:marLeft w:val="0"/>
      <w:marRight w:val="0"/>
      <w:marTop w:val="0"/>
      <w:marBottom w:val="0"/>
      <w:divBdr>
        <w:top w:val="none" w:sz="0" w:space="0" w:color="auto"/>
        <w:left w:val="none" w:sz="0" w:space="0" w:color="auto"/>
        <w:bottom w:val="none" w:sz="0" w:space="0" w:color="auto"/>
        <w:right w:val="none" w:sz="0" w:space="0" w:color="auto"/>
      </w:divBdr>
    </w:div>
    <w:div w:id="564412033">
      <w:bodyDiv w:val="1"/>
      <w:marLeft w:val="0"/>
      <w:marRight w:val="0"/>
      <w:marTop w:val="0"/>
      <w:marBottom w:val="0"/>
      <w:divBdr>
        <w:top w:val="none" w:sz="0" w:space="0" w:color="auto"/>
        <w:left w:val="none" w:sz="0" w:space="0" w:color="auto"/>
        <w:bottom w:val="none" w:sz="0" w:space="0" w:color="auto"/>
        <w:right w:val="none" w:sz="0" w:space="0" w:color="auto"/>
      </w:divBdr>
    </w:div>
    <w:div w:id="571543386">
      <w:bodyDiv w:val="1"/>
      <w:marLeft w:val="0"/>
      <w:marRight w:val="0"/>
      <w:marTop w:val="0"/>
      <w:marBottom w:val="0"/>
      <w:divBdr>
        <w:top w:val="none" w:sz="0" w:space="0" w:color="auto"/>
        <w:left w:val="none" w:sz="0" w:space="0" w:color="auto"/>
        <w:bottom w:val="none" w:sz="0" w:space="0" w:color="auto"/>
        <w:right w:val="none" w:sz="0" w:space="0" w:color="auto"/>
      </w:divBdr>
    </w:div>
    <w:div w:id="603074482">
      <w:bodyDiv w:val="1"/>
      <w:marLeft w:val="0"/>
      <w:marRight w:val="0"/>
      <w:marTop w:val="0"/>
      <w:marBottom w:val="0"/>
      <w:divBdr>
        <w:top w:val="none" w:sz="0" w:space="0" w:color="auto"/>
        <w:left w:val="none" w:sz="0" w:space="0" w:color="auto"/>
        <w:bottom w:val="none" w:sz="0" w:space="0" w:color="auto"/>
        <w:right w:val="none" w:sz="0" w:space="0" w:color="auto"/>
      </w:divBdr>
    </w:div>
    <w:div w:id="643046513">
      <w:bodyDiv w:val="1"/>
      <w:marLeft w:val="0"/>
      <w:marRight w:val="0"/>
      <w:marTop w:val="0"/>
      <w:marBottom w:val="0"/>
      <w:divBdr>
        <w:top w:val="none" w:sz="0" w:space="0" w:color="auto"/>
        <w:left w:val="none" w:sz="0" w:space="0" w:color="auto"/>
        <w:bottom w:val="none" w:sz="0" w:space="0" w:color="auto"/>
        <w:right w:val="none" w:sz="0" w:space="0" w:color="auto"/>
      </w:divBdr>
    </w:div>
    <w:div w:id="653264143">
      <w:bodyDiv w:val="1"/>
      <w:marLeft w:val="0"/>
      <w:marRight w:val="0"/>
      <w:marTop w:val="0"/>
      <w:marBottom w:val="0"/>
      <w:divBdr>
        <w:top w:val="none" w:sz="0" w:space="0" w:color="auto"/>
        <w:left w:val="none" w:sz="0" w:space="0" w:color="auto"/>
        <w:bottom w:val="none" w:sz="0" w:space="0" w:color="auto"/>
        <w:right w:val="none" w:sz="0" w:space="0" w:color="auto"/>
      </w:divBdr>
    </w:div>
    <w:div w:id="664405195">
      <w:bodyDiv w:val="1"/>
      <w:marLeft w:val="0"/>
      <w:marRight w:val="0"/>
      <w:marTop w:val="0"/>
      <w:marBottom w:val="0"/>
      <w:divBdr>
        <w:top w:val="none" w:sz="0" w:space="0" w:color="auto"/>
        <w:left w:val="none" w:sz="0" w:space="0" w:color="auto"/>
        <w:bottom w:val="none" w:sz="0" w:space="0" w:color="auto"/>
        <w:right w:val="none" w:sz="0" w:space="0" w:color="auto"/>
      </w:divBdr>
    </w:div>
    <w:div w:id="674920285">
      <w:bodyDiv w:val="1"/>
      <w:marLeft w:val="0"/>
      <w:marRight w:val="0"/>
      <w:marTop w:val="0"/>
      <w:marBottom w:val="0"/>
      <w:divBdr>
        <w:top w:val="none" w:sz="0" w:space="0" w:color="auto"/>
        <w:left w:val="none" w:sz="0" w:space="0" w:color="auto"/>
        <w:bottom w:val="none" w:sz="0" w:space="0" w:color="auto"/>
        <w:right w:val="none" w:sz="0" w:space="0" w:color="auto"/>
      </w:divBdr>
    </w:div>
    <w:div w:id="679742541">
      <w:bodyDiv w:val="1"/>
      <w:marLeft w:val="0"/>
      <w:marRight w:val="0"/>
      <w:marTop w:val="0"/>
      <w:marBottom w:val="0"/>
      <w:divBdr>
        <w:top w:val="none" w:sz="0" w:space="0" w:color="auto"/>
        <w:left w:val="none" w:sz="0" w:space="0" w:color="auto"/>
        <w:bottom w:val="none" w:sz="0" w:space="0" w:color="auto"/>
        <w:right w:val="none" w:sz="0" w:space="0" w:color="auto"/>
      </w:divBdr>
    </w:div>
    <w:div w:id="705257585">
      <w:bodyDiv w:val="1"/>
      <w:marLeft w:val="0"/>
      <w:marRight w:val="0"/>
      <w:marTop w:val="0"/>
      <w:marBottom w:val="0"/>
      <w:divBdr>
        <w:top w:val="none" w:sz="0" w:space="0" w:color="auto"/>
        <w:left w:val="none" w:sz="0" w:space="0" w:color="auto"/>
        <w:bottom w:val="none" w:sz="0" w:space="0" w:color="auto"/>
        <w:right w:val="none" w:sz="0" w:space="0" w:color="auto"/>
      </w:divBdr>
    </w:div>
    <w:div w:id="727652404">
      <w:bodyDiv w:val="1"/>
      <w:marLeft w:val="0"/>
      <w:marRight w:val="0"/>
      <w:marTop w:val="0"/>
      <w:marBottom w:val="0"/>
      <w:divBdr>
        <w:top w:val="none" w:sz="0" w:space="0" w:color="auto"/>
        <w:left w:val="none" w:sz="0" w:space="0" w:color="auto"/>
        <w:bottom w:val="none" w:sz="0" w:space="0" w:color="auto"/>
        <w:right w:val="none" w:sz="0" w:space="0" w:color="auto"/>
      </w:divBdr>
    </w:div>
    <w:div w:id="739602263">
      <w:bodyDiv w:val="1"/>
      <w:marLeft w:val="0"/>
      <w:marRight w:val="0"/>
      <w:marTop w:val="0"/>
      <w:marBottom w:val="0"/>
      <w:divBdr>
        <w:top w:val="none" w:sz="0" w:space="0" w:color="auto"/>
        <w:left w:val="none" w:sz="0" w:space="0" w:color="auto"/>
        <w:bottom w:val="none" w:sz="0" w:space="0" w:color="auto"/>
        <w:right w:val="none" w:sz="0" w:space="0" w:color="auto"/>
      </w:divBdr>
    </w:div>
    <w:div w:id="752119643">
      <w:bodyDiv w:val="1"/>
      <w:marLeft w:val="0"/>
      <w:marRight w:val="0"/>
      <w:marTop w:val="0"/>
      <w:marBottom w:val="0"/>
      <w:divBdr>
        <w:top w:val="none" w:sz="0" w:space="0" w:color="auto"/>
        <w:left w:val="none" w:sz="0" w:space="0" w:color="auto"/>
        <w:bottom w:val="none" w:sz="0" w:space="0" w:color="auto"/>
        <w:right w:val="none" w:sz="0" w:space="0" w:color="auto"/>
      </w:divBdr>
    </w:div>
    <w:div w:id="777070079">
      <w:bodyDiv w:val="1"/>
      <w:marLeft w:val="0"/>
      <w:marRight w:val="0"/>
      <w:marTop w:val="0"/>
      <w:marBottom w:val="0"/>
      <w:divBdr>
        <w:top w:val="none" w:sz="0" w:space="0" w:color="auto"/>
        <w:left w:val="none" w:sz="0" w:space="0" w:color="auto"/>
        <w:bottom w:val="none" w:sz="0" w:space="0" w:color="auto"/>
        <w:right w:val="none" w:sz="0" w:space="0" w:color="auto"/>
      </w:divBdr>
    </w:div>
    <w:div w:id="786048156">
      <w:bodyDiv w:val="1"/>
      <w:marLeft w:val="0"/>
      <w:marRight w:val="0"/>
      <w:marTop w:val="0"/>
      <w:marBottom w:val="0"/>
      <w:divBdr>
        <w:top w:val="none" w:sz="0" w:space="0" w:color="auto"/>
        <w:left w:val="none" w:sz="0" w:space="0" w:color="auto"/>
        <w:bottom w:val="none" w:sz="0" w:space="0" w:color="auto"/>
        <w:right w:val="none" w:sz="0" w:space="0" w:color="auto"/>
      </w:divBdr>
    </w:div>
    <w:div w:id="807670646">
      <w:bodyDiv w:val="1"/>
      <w:marLeft w:val="0"/>
      <w:marRight w:val="0"/>
      <w:marTop w:val="0"/>
      <w:marBottom w:val="0"/>
      <w:divBdr>
        <w:top w:val="none" w:sz="0" w:space="0" w:color="auto"/>
        <w:left w:val="none" w:sz="0" w:space="0" w:color="auto"/>
        <w:bottom w:val="none" w:sz="0" w:space="0" w:color="auto"/>
        <w:right w:val="none" w:sz="0" w:space="0" w:color="auto"/>
      </w:divBdr>
    </w:div>
    <w:div w:id="812065009">
      <w:bodyDiv w:val="1"/>
      <w:marLeft w:val="0"/>
      <w:marRight w:val="0"/>
      <w:marTop w:val="0"/>
      <w:marBottom w:val="0"/>
      <w:divBdr>
        <w:top w:val="none" w:sz="0" w:space="0" w:color="auto"/>
        <w:left w:val="none" w:sz="0" w:space="0" w:color="auto"/>
        <w:bottom w:val="none" w:sz="0" w:space="0" w:color="auto"/>
        <w:right w:val="none" w:sz="0" w:space="0" w:color="auto"/>
      </w:divBdr>
    </w:div>
    <w:div w:id="815876979">
      <w:bodyDiv w:val="1"/>
      <w:marLeft w:val="0"/>
      <w:marRight w:val="0"/>
      <w:marTop w:val="0"/>
      <w:marBottom w:val="0"/>
      <w:divBdr>
        <w:top w:val="none" w:sz="0" w:space="0" w:color="auto"/>
        <w:left w:val="none" w:sz="0" w:space="0" w:color="auto"/>
        <w:bottom w:val="none" w:sz="0" w:space="0" w:color="auto"/>
        <w:right w:val="none" w:sz="0" w:space="0" w:color="auto"/>
      </w:divBdr>
    </w:div>
    <w:div w:id="834076955">
      <w:bodyDiv w:val="1"/>
      <w:marLeft w:val="0"/>
      <w:marRight w:val="0"/>
      <w:marTop w:val="0"/>
      <w:marBottom w:val="0"/>
      <w:divBdr>
        <w:top w:val="none" w:sz="0" w:space="0" w:color="auto"/>
        <w:left w:val="none" w:sz="0" w:space="0" w:color="auto"/>
        <w:bottom w:val="none" w:sz="0" w:space="0" w:color="auto"/>
        <w:right w:val="none" w:sz="0" w:space="0" w:color="auto"/>
      </w:divBdr>
    </w:div>
    <w:div w:id="837577675">
      <w:bodyDiv w:val="1"/>
      <w:marLeft w:val="0"/>
      <w:marRight w:val="0"/>
      <w:marTop w:val="0"/>
      <w:marBottom w:val="0"/>
      <w:divBdr>
        <w:top w:val="none" w:sz="0" w:space="0" w:color="auto"/>
        <w:left w:val="none" w:sz="0" w:space="0" w:color="auto"/>
        <w:bottom w:val="none" w:sz="0" w:space="0" w:color="auto"/>
        <w:right w:val="none" w:sz="0" w:space="0" w:color="auto"/>
      </w:divBdr>
    </w:div>
    <w:div w:id="875241864">
      <w:bodyDiv w:val="1"/>
      <w:marLeft w:val="0"/>
      <w:marRight w:val="0"/>
      <w:marTop w:val="0"/>
      <w:marBottom w:val="0"/>
      <w:divBdr>
        <w:top w:val="none" w:sz="0" w:space="0" w:color="auto"/>
        <w:left w:val="none" w:sz="0" w:space="0" w:color="auto"/>
        <w:bottom w:val="none" w:sz="0" w:space="0" w:color="auto"/>
        <w:right w:val="none" w:sz="0" w:space="0" w:color="auto"/>
      </w:divBdr>
    </w:div>
    <w:div w:id="889340471">
      <w:bodyDiv w:val="1"/>
      <w:marLeft w:val="0"/>
      <w:marRight w:val="0"/>
      <w:marTop w:val="0"/>
      <w:marBottom w:val="0"/>
      <w:divBdr>
        <w:top w:val="none" w:sz="0" w:space="0" w:color="auto"/>
        <w:left w:val="none" w:sz="0" w:space="0" w:color="auto"/>
        <w:bottom w:val="none" w:sz="0" w:space="0" w:color="auto"/>
        <w:right w:val="none" w:sz="0" w:space="0" w:color="auto"/>
      </w:divBdr>
    </w:div>
    <w:div w:id="893076860">
      <w:bodyDiv w:val="1"/>
      <w:marLeft w:val="0"/>
      <w:marRight w:val="0"/>
      <w:marTop w:val="0"/>
      <w:marBottom w:val="0"/>
      <w:divBdr>
        <w:top w:val="none" w:sz="0" w:space="0" w:color="auto"/>
        <w:left w:val="none" w:sz="0" w:space="0" w:color="auto"/>
        <w:bottom w:val="none" w:sz="0" w:space="0" w:color="auto"/>
        <w:right w:val="none" w:sz="0" w:space="0" w:color="auto"/>
      </w:divBdr>
    </w:div>
    <w:div w:id="941063064">
      <w:bodyDiv w:val="1"/>
      <w:marLeft w:val="0"/>
      <w:marRight w:val="0"/>
      <w:marTop w:val="0"/>
      <w:marBottom w:val="0"/>
      <w:divBdr>
        <w:top w:val="none" w:sz="0" w:space="0" w:color="auto"/>
        <w:left w:val="none" w:sz="0" w:space="0" w:color="auto"/>
        <w:bottom w:val="none" w:sz="0" w:space="0" w:color="auto"/>
        <w:right w:val="none" w:sz="0" w:space="0" w:color="auto"/>
      </w:divBdr>
    </w:div>
    <w:div w:id="972751514">
      <w:bodyDiv w:val="1"/>
      <w:marLeft w:val="0"/>
      <w:marRight w:val="0"/>
      <w:marTop w:val="0"/>
      <w:marBottom w:val="0"/>
      <w:divBdr>
        <w:top w:val="none" w:sz="0" w:space="0" w:color="auto"/>
        <w:left w:val="none" w:sz="0" w:space="0" w:color="auto"/>
        <w:bottom w:val="none" w:sz="0" w:space="0" w:color="auto"/>
        <w:right w:val="none" w:sz="0" w:space="0" w:color="auto"/>
      </w:divBdr>
    </w:div>
    <w:div w:id="991449012">
      <w:bodyDiv w:val="1"/>
      <w:marLeft w:val="0"/>
      <w:marRight w:val="0"/>
      <w:marTop w:val="0"/>
      <w:marBottom w:val="0"/>
      <w:divBdr>
        <w:top w:val="none" w:sz="0" w:space="0" w:color="auto"/>
        <w:left w:val="none" w:sz="0" w:space="0" w:color="auto"/>
        <w:bottom w:val="none" w:sz="0" w:space="0" w:color="auto"/>
        <w:right w:val="none" w:sz="0" w:space="0" w:color="auto"/>
      </w:divBdr>
    </w:div>
    <w:div w:id="1027558627">
      <w:bodyDiv w:val="1"/>
      <w:marLeft w:val="0"/>
      <w:marRight w:val="0"/>
      <w:marTop w:val="0"/>
      <w:marBottom w:val="0"/>
      <w:divBdr>
        <w:top w:val="none" w:sz="0" w:space="0" w:color="auto"/>
        <w:left w:val="none" w:sz="0" w:space="0" w:color="auto"/>
        <w:bottom w:val="none" w:sz="0" w:space="0" w:color="auto"/>
        <w:right w:val="none" w:sz="0" w:space="0" w:color="auto"/>
      </w:divBdr>
    </w:div>
    <w:div w:id="1028675169">
      <w:bodyDiv w:val="1"/>
      <w:marLeft w:val="0"/>
      <w:marRight w:val="0"/>
      <w:marTop w:val="0"/>
      <w:marBottom w:val="0"/>
      <w:divBdr>
        <w:top w:val="none" w:sz="0" w:space="0" w:color="auto"/>
        <w:left w:val="none" w:sz="0" w:space="0" w:color="auto"/>
        <w:bottom w:val="none" w:sz="0" w:space="0" w:color="auto"/>
        <w:right w:val="none" w:sz="0" w:space="0" w:color="auto"/>
      </w:divBdr>
    </w:div>
    <w:div w:id="1036274856">
      <w:bodyDiv w:val="1"/>
      <w:marLeft w:val="0"/>
      <w:marRight w:val="0"/>
      <w:marTop w:val="0"/>
      <w:marBottom w:val="0"/>
      <w:divBdr>
        <w:top w:val="none" w:sz="0" w:space="0" w:color="auto"/>
        <w:left w:val="none" w:sz="0" w:space="0" w:color="auto"/>
        <w:bottom w:val="none" w:sz="0" w:space="0" w:color="auto"/>
        <w:right w:val="none" w:sz="0" w:space="0" w:color="auto"/>
      </w:divBdr>
    </w:div>
    <w:div w:id="1083064515">
      <w:bodyDiv w:val="1"/>
      <w:marLeft w:val="0"/>
      <w:marRight w:val="0"/>
      <w:marTop w:val="0"/>
      <w:marBottom w:val="0"/>
      <w:divBdr>
        <w:top w:val="none" w:sz="0" w:space="0" w:color="auto"/>
        <w:left w:val="none" w:sz="0" w:space="0" w:color="auto"/>
        <w:bottom w:val="none" w:sz="0" w:space="0" w:color="auto"/>
        <w:right w:val="none" w:sz="0" w:space="0" w:color="auto"/>
      </w:divBdr>
    </w:div>
    <w:div w:id="1084497865">
      <w:bodyDiv w:val="1"/>
      <w:marLeft w:val="0"/>
      <w:marRight w:val="0"/>
      <w:marTop w:val="0"/>
      <w:marBottom w:val="0"/>
      <w:divBdr>
        <w:top w:val="none" w:sz="0" w:space="0" w:color="auto"/>
        <w:left w:val="none" w:sz="0" w:space="0" w:color="auto"/>
        <w:bottom w:val="none" w:sz="0" w:space="0" w:color="auto"/>
        <w:right w:val="none" w:sz="0" w:space="0" w:color="auto"/>
      </w:divBdr>
    </w:div>
    <w:div w:id="108692017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5515696">
      <w:bodyDiv w:val="1"/>
      <w:marLeft w:val="0"/>
      <w:marRight w:val="0"/>
      <w:marTop w:val="0"/>
      <w:marBottom w:val="0"/>
      <w:divBdr>
        <w:top w:val="none" w:sz="0" w:space="0" w:color="auto"/>
        <w:left w:val="none" w:sz="0" w:space="0" w:color="auto"/>
        <w:bottom w:val="none" w:sz="0" w:space="0" w:color="auto"/>
        <w:right w:val="none" w:sz="0" w:space="0" w:color="auto"/>
      </w:divBdr>
    </w:div>
    <w:div w:id="1133913457">
      <w:bodyDiv w:val="1"/>
      <w:marLeft w:val="0"/>
      <w:marRight w:val="0"/>
      <w:marTop w:val="0"/>
      <w:marBottom w:val="0"/>
      <w:divBdr>
        <w:top w:val="none" w:sz="0" w:space="0" w:color="auto"/>
        <w:left w:val="none" w:sz="0" w:space="0" w:color="auto"/>
        <w:bottom w:val="none" w:sz="0" w:space="0" w:color="auto"/>
        <w:right w:val="none" w:sz="0" w:space="0" w:color="auto"/>
      </w:divBdr>
    </w:div>
    <w:div w:id="1136533136">
      <w:bodyDiv w:val="1"/>
      <w:marLeft w:val="0"/>
      <w:marRight w:val="0"/>
      <w:marTop w:val="0"/>
      <w:marBottom w:val="0"/>
      <w:divBdr>
        <w:top w:val="none" w:sz="0" w:space="0" w:color="auto"/>
        <w:left w:val="none" w:sz="0" w:space="0" w:color="auto"/>
        <w:bottom w:val="none" w:sz="0" w:space="0" w:color="auto"/>
        <w:right w:val="none" w:sz="0" w:space="0" w:color="auto"/>
      </w:divBdr>
    </w:div>
    <w:div w:id="1141926631">
      <w:bodyDiv w:val="1"/>
      <w:marLeft w:val="0"/>
      <w:marRight w:val="0"/>
      <w:marTop w:val="0"/>
      <w:marBottom w:val="0"/>
      <w:divBdr>
        <w:top w:val="none" w:sz="0" w:space="0" w:color="auto"/>
        <w:left w:val="none" w:sz="0" w:space="0" w:color="auto"/>
        <w:bottom w:val="none" w:sz="0" w:space="0" w:color="auto"/>
        <w:right w:val="none" w:sz="0" w:space="0" w:color="auto"/>
      </w:divBdr>
    </w:div>
    <w:div w:id="1197112107">
      <w:bodyDiv w:val="1"/>
      <w:marLeft w:val="0"/>
      <w:marRight w:val="0"/>
      <w:marTop w:val="0"/>
      <w:marBottom w:val="0"/>
      <w:divBdr>
        <w:top w:val="none" w:sz="0" w:space="0" w:color="auto"/>
        <w:left w:val="none" w:sz="0" w:space="0" w:color="auto"/>
        <w:bottom w:val="none" w:sz="0" w:space="0" w:color="auto"/>
        <w:right w:val="none" w:sz="0" w:space="0" w:color="auto"/>
      </w:divBdr>
    </w:div>
    <w:div w:id="1213229552">
      <w:bodyDiv w:val="1"/>
      <w:marLeft w:val="0"/>
      <w:marRight w:val="0"/>
      <w:marTop w:val="0"/>
      <w:marBottom w:val="0"/>
      <w:divBdr>
        <w:top w:val="none" w:sz="0" w:space="0" w:color="auto"/>
        <w:left w:val="none" w:sz="0" w:space="0" w:color="auto"/>
        <w:bottom w:val="none" w:sz="0" w:space="0" w:color="auto"/>
        <w:right w:val="none" w:sz="0" w:space="0" w:color="auto"/>
      </w:divBdr>
    </w:div>
    <w:div w:id="1231040617">
      <w:bodyDiv w:val="1"/>
      <w:marLeft w:val="0"/>
      <w:marRight w:val="0"/>
      <w:marTop w:val="0"/>
      <w:marBottom w:val="0"/>
      <w:divBdr>
        <w:top w:val="none" w:sz="0" w:space="0" w:color="auto"/>
        <w:left w:val="none" w:sz="0" w:space="0" w:color="auto"/>
        <w:bottom w:val="none" w:sz="0" w:space="0" w:color="auto"/>
        <w:right w:val="none" w:sz="0" w:space="0" w:color="auto"/>
      </w:divBdr>
    </w:div>
    <w:div w:id="1251353668">
      <w:bodyDiv w:val="1"/>
      <w:marLeft w:val="0"/>
      <w:marRight w:val="0"/>
      <w:marTop w:val="0"/>
      <w:marBottom w:val="0"/>
      <w:divBdr>
        <w:top w:val="none" w:sz="0" w:space="0" w:color="auto"/>
        <w:left w:val="none" w:sz="0" w:space="0" w:color="auto"/>
        <w:bottom w:val="none" w:sz="0" w:space="0" w:color="auto"/>
        <w:right w:val="none" w:sz="0" w:space="0" w:color="auto"/>
      </w:divBdr>
    </w:div>
    <w:div w:id="1316955052">
      <w:bodyDiv w:val="1"/>
      <w:marLeft w:val="0"/>
      <w:marRight w:val="0"/>
      <w:marTop w:val="0"/>
      <w:marBottom w:val="0"/>
      <w:divBdr>
        <w:top w:val="none" w:sz="0" w:space="0" w:color="auto"/>
        <w:left w:val="none" w:sz="0" w:space="0" w:color="auto"/>
        <w:bottom w:val="none" w:sz="0" w:space="0" w:color="auto"/>
        <w:right w:val="none" w:sz="0" w:space="0" w:color="auto"/>
      </w:divBdr>
    </w:div>
    <w:div w:id="1328241952">
      <w:bodyDiv w:val="1"/>
      <w:marLeft w:val="0"/>
      <w:marRight w:val="0"/>
      <w:marTop w:val="0"/>
      <w:marBottom w:val="0"/>
      <w:divBdr>
        <w:top w:val="none" w:sz="0" w:space="0" w:color="auto"/>
        <w:left w:val="none" w:sz="0" w:space="0" w:color="auto"/>
        <w:bottom w:val="none" w:sz="0" w:space="0" w:color="auto"/>
        <w:right w:val="none" w:sz="0" w:space="0" w:color="auto"/>
      </w:divBdr>
    </w:div>
    <w:div w:id="1346204647">
      <w:bodyDiv w:val="1"/>
      <w:marLeft w:val="0"/>
      <w:marRight w:val="0"/>
      <w:marTop w:val="0"/>
      <w:marBottom w:val="0"/>
      <w:divBdr>
        <w:top w:val="none" w:sz="0" w:space="0" w:color="auto"/>
        <w:left w:val="none" w:sz="0" w:space="0" w:color="auto"/>
        <w:bottom w:val="none" w:sz="0" w:space="0" w:color="auto"/>
        <w:right w:val="none" w:sz="0" w:space="0" w:color="auto"/>
      </w:divBdr>
      <w:divsChild>
        <w:div w:id="615136205">
          <w:marLeft w:val="0"/>
          <w:marRight w:val="0"/>
          <w:marTop w:val="0"/>
          <w:marBottom w:val="0"/>
          <w:divBdr>
            <w:top w:val="none" w:sz="0" w:space="0" w:color="auto"/>
            <w:left w:val="none" w:sz="0" w:space="0" w:color="auto"/>
            <w:bottom w:val="none" w:sz="0" w:space="0" w:color="auto"/>
            <w:right w:val="none" w:sz="0" w:space="0" w:color="auto"/>
          </w:divBdr>
        </w:div>
        <w:div w:id="788813804">
          <w:marLeft w:val="0"/>
          <w:marRight w:val="0"/>
          <w:marTop w:val="0"/>
          <w:marBottom w:val="0"/>
          <w:divBdr>
            <w:top w:val="none" w:sz="0" w:space="0" w:color="auto"/>
            <w:left w:val="none" w:sz="0" w:space="0" w:color="auto"/>
            <w:bottom w:val="none" w:sz="0" w:space="0" w:color="auto"/>
            <w:right w:val="none" w:sz="0" w:space="0" w:color="auto"/>
          </w:divBdr>
        </w:div>
        <w:div w:id="1416824473">
          <w:marLeft w:val="0"/>
          <w:marRight w:val="0"/>
          <w:marTop w:val="0"/>
          <w:marBottom w:val="0"/>
          <w:divBdr>
            <w:top w:val="none" w:sz="0" w:space="0" w:color="auto"/>
            <w:left w:val="none" w:sz="0" w:space="0" w:color="auto"/>
            <w:bottom w:val="none" w:sz="0" w:space="0" w:color="auto"/>
            <w:right w:val="none" w:sz="0" w:space="0" w:color="auto"/>
          </w:divBdr>
        </w:div>
      </w:divsChild>
    </w:div>
    <w:div w:id="1346205510">
      <w:bodyDiv w:val="1"/>
      <w:marLeft w:val="0"/>
      <w:marRight w:val="0"/>
      <w:marTop w:val="0"/>
      <w:marBottom w:val="0"/>
      <w:divBdr>
        <w:top w:val="none" w:sz="0" w:space="0" w:color="auto"/>
        <w:left w:val="none" w:sz="0" w:space="0" w:color="auto"/>
        <w:bottom w:val="none" w:sz="0" w:space="0" w:color="auto"/>
        <w:right w:val="none" w:sz="0" w:space="0" w:color="auto"/>
      </w:divBdr>
    </w:div>
    <w:div w:id="1349452341">
      <w:bodyDiv w:val="1"/>
      <w:marLeft w:val="0"/>
      <w:marRight w:val="0"/>
      <w:marTop w:val="0"/>
      <w:marBottom w:val="0"/>
      <w:divBdr>
        <w:top w:val="none" w:sz="0" w:space="0" w:color="auto"/>
        <w:left w:val="none" w:sz="0" w:space="0" w:color="auto"/>
        <w:bottom w:val="none" w:sz="0" w:space="0" w:color="auto"/>
        <w:right w:val="none" w:sz="0" w:space="0" w:color="auto"/>
      </w:divBdr>
    </w:div>
    <w:div w:id="1353217961">
      <w:bodyDiv w:val="1"/>
      <w:marLeft w:val="0"/>
      <w:marRight w:val="0"/>
      <w:marTop w:val="0"/>
      <w:marBottom w:val="0"/>
      <w:divBdr>
        <w:top w:val="none" w:sz="0" w:space="0" w:color="auto"/>
        <w:left w:val="none" w:sz="0" w:space="0" w:color="auto"/>
        <w:bottom w:val="none" w:sz="0" w:space="0" w:color="auto"/>
        <w:right w:val="none" w:sz="0" w:space="0" w:color="auto"/>
      </w:divBdr>
    </w:div>
    <w:div w:id="1368916689">
      <w:bodyDiv w:val="1"/>
      <w:marLeft w:val="0"/>
      <w:marRight w:val="0"/>
      <w:marTop w:val="0"/>
      <w:marBottom w:val="0"/>
      <w:divBdr>
        <w:top w:val="none" w:sz="0" w:space="0" w:color="auto"/>
        <w:left w:val="none" w:sz="0" w:space="0" w:color="auto"/>
        <w:bottom w:val="none" w:sz="0" w:space="0" w:color="auto"/>
        <w:right w:val="none" w:sz="0" w:space="0" w:color="auto"/>
      </w:divBdr>
    </w:div>
    <w:div w:id="1400439107">
      <w:bodyDiv w:val="1"/>
      <w:marLeft w:val="0"/>
      <w:marRight w:val="0"/>
      <w:marTop w:val="0"/>
      <w:marBottom w:val="0"/>
      <w:divBdr>
        <w:top w:val="none" w:sz="0" w:space="0" w:color="auto"/>
        <w:left w:val="none" w:sz="0" w:space="0" w:color="auto"/>
        <w:bottom w:val="none" w:sz="0" w:space="0" w:color="auto"/>
        <w:right w:val="none" w:sz="0" w:space="0" w:color="auto"/>
      </w:divBdr>
    </w:div>
    <w:div w:id="1421415381">
      <w:bodyDiv w:val="1"/>
      <w:marLeft w:val="0"/>
      <w:marRight w:val="0"/>
      <w:marTop w:val="0"/>
      <w:marBottom w:val="0"/>
      <w:divBdr>
        <w:top w:val="none" w:sz="0" w:space="0" w:color="auto"/>
        <w:left w:val="none" w:sz="0" w:space="0" w:color="auto"/>
        <w:bottom w:val="none" w:sz="0" w:space="0" w:color="auto"/>
        <w:right w:val="none" w:sz="0" w:space="0" w:color="auto"/>
      </w:divBdr>
    </w:div>
    <w:div w:id="1443456221">
      <w:bodyDiv w:val="1"/>
      <w:marLeft w:val="0"/>
      <w:marRight w:val="0"/>
      <w:marTop w:val="0"/>
      <w:marBottom w:val="0"/>
      <w:divBdr>
        <w:top w:val="none" w:sz="0" w:space="0" w:color="auto"/>
        <w:left w:val="none" w:sz="0" w:space="0" w:color="auto"/>
        <w:bottom w:val="none" w:sz="0" w:space="0" w:color="auto"/>
        <w:right w:val="none" w:sz="0" w:space="0" w:color="auto"/>
      </w:divBdr>
    </w:div>
    <w:div w:id="1444808900">
      <w:bodyDiv w:val="1"/>
      <w:marLeft w:val="0"/>
      <w:marRight w:val="0"/>
      <w:marTop w:val="0"/>
      <w:marBottom w:val="0"/>
      <w:divBdr>
        <w:top w:val="none" w:sz="0" w:space="0" w:color="auto"/>
        <w:left w:val="none" w:sz="0" w:space="0" w:color="auto"/>
        <w:bottom w:val="none" w:sz="0" w:space="0" w:color="auto"/>
        <w:right w:val="none" w:sz="0" w:space="0" w:color="auto"/>
      </w:divBdr>
    </w:div>
    <w:div w:id="1448430519">
      <w:bodyDiv w:val="1"/>
      <w:marLeft w:val="0"/>
      <w:marRight w:val="0"/>
      <w:marTop w:val="0"/>
      <w:marBottom w:val="0"/>
      <w:divBdr>
        <w:top w:val="none" w:sz="0" w:space="0" w:color="auto"/>
        <w:left w:val="none" w:sz="0" w:space="0" w:color="auto"/>
        <w:bottom w:val="none" w:sz="0" w:space="0" w:color="auto"/>
        <w:right w:val="none" w:sz="0" w:space="0" w:color="auto"/>
      </w:divBdr>
    </w:div>
    <w:div w:id="1483307085">
      <w:bodyDiv w:val="1"/>
      <w:marLeft w:val="0"/>
      <w:marRight w:val="0"/>
      <w:marTop w:val="0"/>
      <w:marBottom w:val="0"/>
      <w:divBdr>
        <w:top w:val="none" w:sz="0" w:space="0" w:color="auto"/>
        <w:left w:val="none" w:sz="0" w:space="0" w:color="auto"/>
        <w:bottom w:val="none" w:sz="0" w:space="0" w:color="auto"/>
        <w:right w:val="none" w:sz="0" w:space="0" w:color="auto"/>
      </w:divBdr>
    </w:div>
    <w:div w:id="1484664869">
      <w:bodyDiv w:val="1"/>
      <w:marLeft w:val="0"/>
      <w:marRight w:val="0"/>
      <w:marTop w:val="0"/>
      <w:marBottom w:val="0"/>
      <w:divBdr>
        <w:top w:val="none" w:sz="0" w:space="0" w:color="auto"/>
        <w:left w:val="none" w:sz="0" w:space="0" w:color="auto"/>
        <w:bottom w:val="none" w:sz="0" w:space="0" w:color="auto"/>
        <w:right w:val="none" w:sz="0" w:space="0" w:color="auto"/>
      </w:divBdr>
    </w:div>
    <w:div w:id="1498426704">
      <w:bodyDiv w:val="1"/>
      <w:marLeft w:val="0"/>
      <w:marRight w:val="0"/>
      <w:marTop w:val="0"/>
      <w:marBottom w:val="0"/>
      <w:divBdr>
        <w:top w:val="none" w:sz="0" w:space="0" w:color="auto"/>
        <w:left w:val="none" w:sz="0" w:space="0" w:color="auto"/>
        <w:bottom w:val="none" w:sz="0" w:space="0" w:color="auto"/>
        <w:right w:val="none" w:sz="0" w:space="0" w:color="auto"/>
      </w:divBdr>
    </w:div>
    <w:div w:id="1540238872">
      <w:bodyDiv w:val="1"/>
      <w:marLeft w:val="0"/>
      <w:marRight w:val="0"/>
      <w:marTop w:val="0"/>
      <w:marBottom w:val="0"/>
      <w:divBdr>
        <w:top w:val="none" w:sz="0" w:space="0" w:color="auto"/>
        <w:left w:val="none" w:sz="0" w:space="0" w:color="auto"/>
        <w:bottom w:val="none" w:sz="0" w:space="0" w:color="auto"/>
        <w:right w:val="none" w:sz="0" w:space="0" w:color="auto"/>
      </w:divBdr>
    </w:div>
    <w:div w:id="1558201183">
      <w:bodyDiv w:val="1"/>
      <w:marLeft w:val="0"/>
      <w:marRight w:val="0"/>
      <w:marTop w:val="0"/>
      <w:marBottom w:val="0"/>
      <w:divBdr>
        <w:top w:val="none" w:sz="0" w:space="0" w:color="auto"/>
        <w:left w:val="none" w:sz="0" w:space="0" w:color="auto"/>
        <w:bottom w:val="none" w:sz="0" w:space="0" w:color="auto"/>
        <w:right w:val="none" w:sz="0" w:space="0" w:color="auto"/>
      </w:divBdr>
    </w:div>
    <w:div w:id="1580288373">
      <w:bodyDiv w:val="1"/>
      <w:marLeft w:val="0"/>
      <w:marRight w:val="0"/>
      <w:marTop w:val="0"/>
      <w:marBottom w:val="0"/>
      <w:divBdr>
        <w:top w:val="none" w:sz="0" w:space="0" w:color="auto"/>
        <w:left w:val="none" w:sz="0" w:space="0" w:color="auto"/>
        <w:bottom w:val="none" w:sz="0" w:space="0" w:color="auto"/>
        <w:right w:val="none" w:sz="0" w:space="0" w:color="auto"/>
      </w:divBdr>
    </w:div>
    <w:div w:id="1584412119">
      <w:bodyDiv w:val="1"/>
      <w:marLeft w:val="0"/>
      <w:marRight w:val="0"/>
      <w:marTop w:val="0"/>
      <w:marBottom w:val="0"/>
      <w:divBdr>
        <w:top w:val="none" w:sz="0" w:space="0" w:color="auto"/>
        <w:left w:val="none" w:sz="0" w:space="0" w:color="auto"/>
        <w:bottom w:val="none" w:sz="0" w:space="0" w:color="auto"/>
        <w:right w:val="none" w:sz="0" w:space="0" w:color="auto"/>
      </w:divBdr>
    </w:div>
    <w:div w:id="1604726422">
      <w:bodyDiv w:val="1"/>
      <w:marLeft w:val="0"/>
      <w:marRight w:val="0"/>
      <w:marTop w:val="0"/>
      <w:marBottom w:val="0"/>
      <w:divBdr>
        <w:top w:val="none" w:sz="0" w:space="0" w:color="auto"/>
        <w:left w:val="none" w:sz="0" w:space="0" w:color="auto"/>
        <w:bottom w:val="none" w:sz="0" w:space="0" w:color="auto"/>
        <w:right w:val="none" w:sz="0" w:space="0" w:color="auto"/>
      </w:divBdr>
    </w:div>
    <w:div w:id="1612544824">
      <w:bodyDiv w:val="1"/>
      <w:marLeft w:val="0"/>
      <w:marRight w:val="0"/>
      <w:marTop w:val="0"/>
      <w:marBottom w:val="0"/>
      <w:divBdr>
        <w:top w:val="none" w:sz="0" w:space="0" w:color="auto"/>
        <w:left w:val="none" w:sz="0" w:space="0" w:color="auto"/>
        <w:bottom w:val="none" w:sz="0" w:space="0" w:color="auto"/>
        <w:right w:val="none" w:sz="0" w:space="0" w:color="auto"/>
      </w:divBdr>
    </w:div>
    <w:div w:id="1613706316">
      <w:bodyDiv w:val="1"/>
      <w:marLeft w:val="0"/>
      <w:marRight w:val="0"/>
      <w:marTop w:val="0"/>
      <w:marBottom w:val="0"/>
      <w:divBdr>
        <w:top w:val="none" w:sz="0" w:space="0" w:color="auto"/>
        <w:left w:val="none" w:sz="0" w:space="0" w:color="auto"/>
        <w:bottom w:val="none" w:sz="0" w:space="0" w:color="auto"/>
        <w:right w:val="none" w:sz="0" w:space="0" w:color="auto"/>
      </w:divBdr>
    </w:div>
    <w:div w:id="1622833278">
      <w:bodyDiv w:val="1"/>
      <w:marLeft w:val="0"/>
      <w:marRight w:val="0"/>
      <w:marTop w:val="0"/>
      <w:marBottom w:val="0"/>
      <w:divBdr>
        <w:top w:val="none" w:sz="0" w:space="0" w:color="auto"/>
        <w:left w:val="none" w:sz="0" w:space="0" w:color="auto"/>
        <w:bottom w:val="none" w:sz="0" w:space="0" w:color="auto"/>
        <w:right w:val="none" w:sz="0" w:space="0" w:color="auto"/>
      </w:divBdr>
    </w:div>
    <w:div w:id="1658418300">
      <w:bodyDiv w:val="1"/>
      <w:marLeft w:val="0"/>
      <w:marRight w:val="0"/>
      <w:marTop w:val="0"/>
      <w:marBottom w:val="0"/>
      <w:divBdr>
        <w:top w:val="none" w:sz="0" w:space="0" w:color="auto"/>
        <w:left w:val="none" w:sz="0" w:space="0" w:color="auto"/>
        <w:bottom w:val="none" w:sz="0" w:space="0" w:color="auto"/>
        <w:right w:val="none" w:sz="0" w:space="0" w:color="auto"/>
      </w:divBdr>
    </w:div>
    <w:div w:id="1696614201">
      <w:bodyDiv w:val="1"/>
      <w:marLeft w:val="0"/>
      <w:marRight w:val="0"/>
      <w:marTop w:val="0"/>
      <w:marBottom w:val="0"/>
      <w:divBdr>
        <w:top w:val="none" w:sz="0" w:space="0" w:color="auto"/>
        <w:left w:val="none" w:sz="0" w:space="0" w:color="auto"/>
        <w:bottom w:val="none" w:sz="0" w:space="0" w:color="auto"/>
        <w:right w:val="none" w:sz="0" w:space="0" w:color="auto"/>
      </w:divBdr>
    </w:div>
    <w:div w:id="1746415728">
      <w:bodyDiv w:val="1"/>
      <w:marLeft w:val="0"/>
      <w:marRight w:val="0"/>
      <w:marTop w:val="0"/>
      <w:marBottom w:val="0"/>
      <w:divBdr>
        <w:top w:val="none" w:sz="0" w:space="0" w:color="auto"/>
        <w:left w:val="none" w:sz="0" w:space="0" w:color="auto"/>
        <w:bottom w:val="none" w:sz="0" w:space="0" w:color="auto"/>
        <w:right w:val="none" w:sz="0" w:space="0" w:color="auto"/>
      </w:divBdr>
    </w:div>
    <w:div w:id="1776709694">
      <w:bodyDiv w:val="1"/>
      <w:marLeft w:val="0"/>
      <w:marRight w:val="0"/>
      <w:marTop w:val="0"/>
      <w:marBottom w:val="0"/>
      <w:divBdr>
        <w:top w:val="none" w:sz="0" w:space="0" w:color="auto"/>
        <w:left w:val="none" w:sz="0" w:space="0" w:color="auto"/>
        <w:bottom w:val="none" w:sz="0" w:space="0" w:color="auto"/>
        <w:right w:val="none" w:sz="0" w:space="0" w:color="auto"/>
      </w:divBdr>
    </w:div>
    <w:div w:id="1793744953">
      <w:bodyDiv w:val="1"/>
      <w:marLeft w:val="0"/>
      <w:marRight w:val="0"/>
      <w:marTop w:val="0"/>
      <w:marBottom w:val="0"/>
      <w:divBdr>
        <w:top w:val="none" w:sz="0" w:space="0" w:color="auto"/>
        <w:left w:val="none" w:sz="0" w:space="0" w:color="auto"/>
        <w:bottom w:val="none" w:sz="0" w:space="0" w:color="auto"/>
        <w:right w:val="none" w:sz="0" w:space="0" w:color="auto"/>
      </w:divBdr>
    </w:div>
    <w:div w:id="1823764845">
      <w:bodyDiv w:val="1"/>
      <w:marLeft w:val="0"/>
      <w:marRight w:val="0"/>
      <w:marTop w:val="0"/>
      <w:marBottom w:val="0"/>
      <w:divBdr>
        <w:top w:val="none" w:sz="0" w:space="0" w:color="auto"/>
        <w:left w:val="none" w:sz="0" w:space="0" w:color="auto"/>
        <w:bottom w:val="none" w:sz="0" w:space="0" w:color="auto"/>
        <w:right w:val="none" w:sz="0" w:space="0" w:color="auto"/>
      </w:divBdr>
    </w:div>
    <w:div w:id="1826631308">
      <w:bodyDiv w:val="1"/>
      <w:marLeft w:val="0"/>
      <w:marRight w:val="0"/>
      <w:marTop w:val="0"/>
      <w:marBottom w:val="0"/>
      <w:divBdr>
        <w:top w:val="none" w:sz="0" w:space="0" w:color="auto"/>
        <w:left w:val="none" w:sz="0" w:space="0" w:color="auto"/>
        <w:bottom w:val="none" w:sz="0" w:space="0" w:color="auto"/>
        <w:right w:val="none" w:sz="0" w:space="0" w:color="auto"/>
      </w:divBdr>
    </w:div>
    <w:div w:id="1828981988">
      <w:bodyDiv w:val="1"/>
      <w:marLeft w:val="0"/>
      <w:marRight w:val="0"/>
      <w:marTop w:val="0"/>
      <w:marBottom w:val="0"/>
      <w:divBdr>
        <w:top w:val="none" w:sz="0" w:space="0" w:color="auto"/>
        <w:left w:val="none" w:sz="0" w:space="0" w:color="auto"/>
        <w:bottom w:val="none" w:sz="0" w:space="0" w:color="auto"/>
        <w:right w:val="none" w:sz="0" w:space="0" w:color="auto"/>
      </w:divBdr>
    </w:div>
    <w:div w:id="1843933133">
      <w:bodyDiv w:val="1"/>
      <w:marLeft w:val="0"/>
      <w:marRight w:val="0"/>
      <w:marTop w:val="0"/>
      <w:marBottom w:val="0"/>
      <w:divBdr>
        <w:top w:val="none" w:sz="0" w:space="0" w:color="auto"/>
        <w:left w:val="none" w:sz="0" w:space="0" w:color="auto"/>
        <w:bottom w:val="none" w:sz="0" w:space="0" w:color="auto"/>
        <w:right w:val="none" w:sz="0" w:space="0" w:color="auto"/>
      </w:divBdr>
    </w:div>
    <w:div w:id="1846246472">
      <w:bodyDiv w:val="1"/>
      <w:marLeft w:val="0"/>
      <w:marRight w:val="0"/>
      <w:marTop w:val="0"/>
      <w:marBottom w:val="0"/>
      <w:divBdr>
        <w:top w:val="none" w:sz="0" w:space="0" w:color="auto"/>
        <w:left w:val="none" w:sz="0" w:space="0" w:color="auto"/>
        <w:bottom w:val="none" w:sz="0" w:space="0" w:color="auto"/>
        <w:right w:val="none" w:sz="0" w:space="0" w:color="auto"/>
      </w:divBdr>
    </w:div>
    <w:div w:id="1854606206">
      <w:bodyDiv w:val="1"/>
      <w:marLeft w:val="0"/>
      <w:marRight w:val="0"/>
      <w:marTop w:val="0"/>
      <w:marBottom w:val="0"/>
      <w:divBdr>
        <w:top w:val="none" w:sz="0" w:space="0" w:color="auto"/>
        <w:left w:val="none" w:sz="0" w:space="0" w:color="auto"/>
        <w:bottom w:val="none" w:sz="0" w:space="0" w:color="auto"/>
        <w:right w:val="none" w:sz="0" w:space="0" w:color="auto"/>
      </w:divBdr>
    </w:div>
    <w:div w:id="1866213144">
      <w:bodyDiv w:val="1"/>
      <w:marLeft w:val="0"/>
      <w:marRight w:val="0"/>
      <w:marTop w:val="0"/>
      <w:marBottom w:val="0"/>
      <w:divBdr>
        <w:top w:val="none" w:sz="0" w:space="0" w:color="auto"/>
        <w:left w:val="none" w:sz="0" w:space="0" w:color="auto"/>
        <w:bottom w:val="none" w:sz="0" w:space="0" w:color="auto"/>
        <w:right w:val="none" w:sz="0" w:space="0" w:color="auto"/>
      </w:divBdr>
    </w:div>
    <w:div w:id="1882554362">
      <w:bodyDiv w:val="1"/>
      <w:marLeft w:val="0"/>
      <w:marRight w:val="0"/>
      <w:marTop w:val="0"/>
      <w:marBottom w:val="0"/>
      <w:divBdr>
        <w:top w:val="none" w:sz="0" w:space="0" w:color="auto"/>
        <w:left w:val="none" w:sz="0" w:space="0" w:color="auto"/>
        <w:bottom w:val="none" w:sz="0" w:space="0" w:color="auto"/>
        <w:right w:val="none" w:sz="0" w:space="0" w:color="auto"/>
      </w:divBdr>
    </w:div>
    <w:div w:id="1929120253">
      <w:bodyDiv w:val="1"/>
      <w:marLeft w:val="0"/>
      <w:marRight w:val="0"/>
      <w:marTop w:val="0"/>
      <w:marBottom w:val="0"/>
      <w:divBdr>
        <w:top w:val="none" w:sz="0" w:space="0" w:color="auto"/>
        <w:left w:val="none" w:sz="0" w:space="0" w:color="auto"/>
        <w:bottom w:val="none" w:sz="0" w:space="0" w:color="auto"/>
        <w:right w:val="none" w:sz="0" w:space="0" w:color="auto"/>
      </w:divBdr>
    </w:div>
    <w:div w:id="1938632882">
      <w:bodyDiv w:val="1"/>
      <w:marLeft w:val="0"/>
      <w:marRight w:val="0"/>
      <w:marTop w:val="0"/>
      <w:marBottom w:val="0"/>
      <w:divBdr>
        <w:top w:val="none" w:sz="0" w:space="0" w:color="auto"/>
        <w:left w:val="none" w:sz="0" w:space="0" w:color="auto"/>
        <w:bottom w:val="none" w:sz="0" w:space="0" w:color="auto"/>
        <w:right w:val="none" w:sz="0" w:space="0" w:color="auto"/>
      </w:divBdr>
    </w:div>
    <w:div w:id="1970477435">
      <w:bodyDiv w:val="1"/>
      <w:marLeft w:val="0"/>
      <w:marRight w:val="0"/>
      <w:marTop w:val="0"/>
      <w:marBottom w:val="0"/>
      <w:divBdr>
        <w:top w:val="none" w:sz="0" w:space="0" w:color="auto"/>
        <w:left w:val="none" w:sz="0" w:space="0" w:color="auto"/>
        <w:bottom w:val="none" w:sz="0" w:space="0" w:color="auto"/>
        <w:right w:val="none" w:sz="0" w:space="0" w:color="auto"/>
      </w:divBdr>
    </w:div>
    <w:div w:id="1982687226">
      <w:bodyDiv w:val="1"/>
      <w:marLeft w:val="0"/>
      <w:marRight w:val="0"/>
      <w:marTop w:val="0"/>
      <w:marBottom w:val="0"/>
      <w:divBdr>
        <w:top w:val="none" w:sz="0" w:space="0" w:color="auto"/>
        <w:left w:val="none" w:sz="0" w:space="0" w:color="auto"/>
        <w:bottom w:val="none" w:sz="0" w:space="0" w:color="auto"/>
        <w:right w:val="none" w:sz="0" w:space="0" w:color="auto"/>
      </w:divBdr>
    </w:div>
    <w:div w:id="2002271738">
      <w:bodyDiv w:val="1"/>
      <w:marLeft w:val="0"/>
      <w:marRight w:val="0"/>
      <w:marTop w:val="0"/>
      <w:marBottom w:val="0"/>
      <w:divBdr>
        <w:top w:val="none" w:sz="0" w:space="0" w:color="auto"/>
        <w:left w:val="none" w:sz="0" w:space="0" w:color="auto"/>
        <w:bottom w:val="none" w:sz="0" w:space="0" w:color="auto"/>
        <w:right w:val="none" w:sz="0" w:space="0" w:color="auto"/>
      </w:divBdr>
    </w:div>
    <w:div w:id="2007048790">
      <w:bodyDiv w:val="1"/>
      <w:marLeft w:val="0"/>
      <w:marRight w:val="0"/>
      <w:marTop w:val="0"/>
      <w:marBottom w:val="0"/>
      <w:divBdr>
        <w:top w:val="none" w:sz="0" w:space="0" w:color="auto"/>
        <w:left w:val="none" w:sz="0" w:space="0" w:color="auto"/>
        <w:bottom w:val="none" w:sz="0" w:space="0" w:color="auto"/>
        <w:right w:val="none" w:sz="0" w:space="0" w:color="auto"/>
      </w:divBdr>
    </w:div>
    <w:div w:id="2025789076">
      <w:bodyDiv w:val="1"/>
      <w:marLeft w:val="0"/>
      <w:marRight w:val="0"/>
      <w:marTop w:val="0"/>
      <w:marBottom w:val="0"/>
      <w:divBdr>
        <w:top w:val="none" w:sz="0" w:space="0" w:color="auto"/>
        <w:left w:val="none" w:sz="0" w:space="0" w:color="auto"/>
        <w:bottom w:val="none" w:sz="0" w:space="0" w:color="auto"/>
        <w:right w:val="none" w:sz="0" w:space="0" w:color="auto"/>
      </w:divBdr>
    </w:div>
    <w:div w:id="2038463644">
      <w:bodyDiv w:val="1"/>
      <w:marLeft w:val="0"/>
      <w:marRight w:val="0"/>
      <w:marTop w:val="0"/>
      <w:marBottom w:val="0"/>
      <w:divBdr>
        <w:top w:val="none" w:sz="0" w:space="0" w:color="auto"/>
        <w:left w:val="none" w:sz="0" w:space="0" w:color="auto"/>
        <w:bottom w:val="none" w:sz="0" w:space="0" w:color="auto"/>
        <w:right w:val="none" w:sz="0" w:space="0" w:color="auto"/>
      </w:divBdr>
    </w:div>
    <w:div w:id="2074769990">
      <w:bodyDiv w:val="1"/>
      <w:marLeft w:val="0"/>
      <w:marRight w:val="0"/>
      <w:marTop w:val="0"/>
      <w:marBottom w:val="0"/>
      <w:divBdr>
        <w:top w:val="none" w:sz="0" w:space="0" w:color="auto"/>
        <w:left w:val="none" w:sz="0" w:space="0" w:color="auto"/>
        <w:bottom w:val="none" w:sz="0" w:space="0" w:color="auto"/>
        <w:right w:val="none" w:sz="0" w:space="0" w:color="auto"/>
      </w:divBdr>
    </w:div>
    <w:div w:id="2085636468">
      <w:bodyDiv w:val="1"/>
      <w:marLeft w:val="0"/>
      <w:marRight w:val="0"/>
      <w:marTop w:val="0"/>
      <w:marBottom w:val="0"/>
      <w:divBdr>
        <w:top w:val="none" w:sz="0" w:space="0" w:color="auto"/>
        <w:left w:val="none" w:sz="0" w:space="0" w:color="auto"/>
        <w:bottom w:val="none" w:sz="0" w:space="0" w:color="auto"/>
        <w:right w:val="none" w:sz="0" w:space="0" w:color="auto"/>
      </w:divBdr>
    </w:div>
    <w:div w:id="211355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ir@cenergyholding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energyholding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e6352ef-32ab-4254-abe7-1bf6b41bc2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2E3B56196B594CA54268C3D7698083" ma:contentTypeVersion="5" ma:contentTypeDescription="Create a new document." ma:contentTypeScope="" ma:versionID="fbd109210fce0cb6efcd6dd22ea85623">
  <xsd:schema xmlns:xsd="http://www.w3.org/2001/XMLSchema" xmlns:xs="http://www.w3.org/2001/XMLSchema" xmlns:p="http://schemas.microsoft.com/office/2006/metadata/properties" xmlns:ns3="6e6352ef-32ab-4254-abe7-1bf6b41bc2b4" targetNamespace="http://schemas.microsoft.com/office/2006/metadata/properties" ma:root="true" ma:fieldsID="e0ee10d69ed56d1b568d2cc6acc2afde" ns3:_="">
    <xsd:import namespace="6e6352ef-32ab-4254-abe7-1bf6b41bc2b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352ef-32ab-4254-abe7-1bf6b41bc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7C252-AA19-4E01-A8B4-B3D3A706D670}">
  <ds:schemaRefs>
    <ds:schemaRef ds:uri="http://schemas.openxmlformats.org/officeDocument/2006/bibliography"/>
  </ds:schemaRefs>
</ds:datastoreItem>
</file>

<file path=customXml/itemProps2.xml><?xml version="1.0" encoding="utf-8"?>
<ds:datastoreItem xmlns:ds="http://schemas.openxmlformats.org/officeDocument/2006/customXml" ds:itemID="{04D70BC2-CB62-4AC1-9203-6F889FAC51E0}">
  <ds:schemaRefs>
    <ds:schemaRef ds:uri="http://schemas.microsoft.com/office/2006/metadata/properties"/>
    <ds:schemaRef ds:uri="http://schemas.microsoft.com/office/infopath/2007/PartnerControls"/>
    <ds:schemaRef ds:uri="6e6352ef-32ab-4254-abe7-1bf6b41bc2b4"/>
  </ds:schemaRefs>
</ds:datastoreItem>
</file>

<file path=customXml/itemProps3.xml><?xml version="1.0" encoding="utf-8"?>
<ds:datastoreItem xmlns:ds="http://schemas.openxmlformats.org/officeDocument/2006/customXml" ds:itemID="{FA2AE5CE-9D80-4EDB-9285-45DD749B3ADD}">
  <ds:schemaRefs>
    <ds:schemaRef ds:uri="http://schemas.microsoft.com/sharepoint/v3/contenttype/forms"/>
  </ds:schemaRefs>
</ds:datastoreItem>
</file>

<file path=customXml/itemProps4.xml><?xml version="1.0" encoding="utf-8"?>
<ds:datastoreItem xmlns:ds="http://schemas.openxmlformats.org/officeDocument/2006/customXml" ds:itemID="{ECCC780D-34B0-42DB-9C9F-6D97E33FE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352ef-32ab-4254-abe7-1bf6b41bc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1e0dd3-70f8-47c4-a49c-11d88f6ac77e}" enabled="1" method="Standard" siteId="{ac16fc13-eed0-45a8-a4cd-092120207ca4}"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5708</Words>
  <Characters>34710</Characters>
  <Application>Microsoft Office Word</Application>
  <DocSecurity>0</DocSecurity>
  <Lines>1509</Lines>
  <Paragraphs>1036</Paragraphs>
  <ScaleCrop>false</ScaleCrop>
  <HeadingPairs>
    <vt:vector size="6" baseType="variant">
      <vt:variant>
        <vt:lpstr>Title</vt:lpstr>
      </vt:variant>
      <vt:variant>
        <vt:i4>1</vt:i4>
      </vt:variant>
      <vt:variant>
        <vt:lpstr>Τίτλος</vt:lpstr>
      </vt:variant>
      <vt:variant>
        <vt:i4>1</vt:i4>
      </vt:variant>
      <vt:variant>
        <vt:lpstr>Titre</vt:lpstr>
      </vt:variant>
      <vt:variant>
        <vt:i4>1</vt:i4>
      </vt:variant>
    </vt:vector>
  </HeadingPairs>
  <TitlesOfParts>
    <vt:vector size="3" baseType="lpstr">
      <vt:lpstr/>
      <vt:lpstr/>
      <vt:lpstr>FINANCIAL RESULTS FOR THE FISCAL YEAR 2013</vt:lpstr>
    </vt:vector>
  </TitlesOfParts>
  <Company/>
  <LinksUpToDate>false</LinksUpToDate>
  <CharactersWithSpaces>39382</CharactersWithSpaces>
  <SharedDoc>false</SharedDoc>
  <HLinks>
    <vt:vector size="18" baseType="variant">
      <vt:variant>
        <vt:i4>6750283</vt:i4>
      </vt:variant>
      <vt:variant>
        <vt:i4>6</vt:i4>
      </vt:variant>
      <vt:variant>
        <vt:i4>0</vt:i4>
      </vt:variant>
      <vt:variant>
        <vt:i4>5</vt:i4>
      </vt:variant>
      <vt:variant>
        <vt:lpwstr>mailto:ir@cenergyholdings.com</vt:lpwstr>
      </vt:variant>
      <vt:variant>
        <vt:lpwstr/>
      </vt:variant>
      <vt:variant>
        <vt:i4>3473532</vt:i4>
      </vt:variant>
      <vt:variant>
        <vt:i4>3</vt:i4>
      </vt:variant>
      <vt:variant>
        <vt:i4>0</vt:i4>
      </vt:variant>
      <vt:variant>
        <vt:i4>5</vt:i4>
      </vt:variant>
      <vt:variant>
        <vt:lpwstr>http://www.cenergyholdings.com/</vt:lpwstr>
      </vt:variant>
      <vt:variant>
        <vt:lpwstr/>
      </vt:variant>
      <vt:variant>
        <vt:i4>2031628</vt:i4>
      </vt:variant>
      <vt:variant>
        <vt:i4>0</vt:i4>
      </vt:variant>
      <vt:variant>
        <vt:i4>0</vt:i4>
      </vt:variant>
      <vt:variant>
        <vt:i4>5</vt:i4>
      </vt:variant>
      <vt:variant>
        <vt:lpwstr>http://www.helex.gr/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ibdroot\projects\IBD-LN\clerid2024\931162_1\1. Presentations\2024.08.27 H1 Results Pres\03. Press Release\20240827_CENERGY PRESS RELEASE RESULTS H1 2024_EN_v12 (CLEAN vbased on GS66) (FF Comments).docx</dc:subject>
  <dc:creator>Chen, Cathy [GBM Private]</dc:creator>
  <cp:keywords/>
  <cp:lastModifiedBy>Benos, Alexandros</cp:lastModifiedBy>
  <cp:revision>6</cp:revision>
  <cp:lastPrinted>2024-08-27T13:22:00Z</cp:lastPrinted>
  <dcterms:created xsi:type="dcterms:W3CDTF">2026-08-04T13:23:00Z</dcterms:created>
  <dcterms:modified xsi:type="dcterms:W3CDTF">2026-08-04T13:26:00Z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6102bec2-dad9-4c20-917a-64a630b3d7f5</vt:lpwstr>
  </property>
  <property fmtid="{D5CDD505-2E9C-101B-9397-08002B2CF9AE}" pid="3" name="Project">
    <vt:lpwstr>CovGreece2015</vt:lpwstr>
  </property>
  <property fmtid="{D5CDD505-2E9C-101B-9397-08002B2CF9AE}" pid="4" name="Classification">
    <vt:lpwstr>I</vt:lpwstr>
  </property>
  <property fmtid="{D5CDD505-2E9C-101B-9397-08002B2CF9AE}" pid="5" name="ContentTypeId">
    <vt:lpwstr>0x010100802E3B56196B594CA54268C3D7698083</vt:lpwstr>
  </property>
</Properties>
</file>